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81BC7" w14:textId="77777777" w:rsidR="00555ED9" w:rsidRDefault="00555ED9">
      <w:pPr>
        <w:spacing w:after="360"/>
      </w:pPr>
    </w:p>
    <w:p w14:paraId="5FEE6EB1" w14:textId="77777777" w:rsidR="00555ED9" w:rsidRDefault="00000000">
      <w:pPr>
        <w:spacing w:after="240"/>
        <w:jc w:val="center"/>
      </w:pPr>
      <w:r>
        <w:rPr>
          <w:b/>
          <w:bCs/>
        </w:rPr>
        <w:t>ULTRAMARIN CAPITAL GMBH</w:t>
      </w:r>
    </w:p>
    <w:p w14:paraId="59196E7E" w14:textId="77777777" w:rsidR="00555ED9" w:rsidRDefault="00000000">
      <w:pPr>
        <w:spacing w:after="240"/>
        <w:jc w:val="center"/>
      </w:pPr>
      <w:r>
        <w:rPr>
          <w:b/>
          <w:bCs/>
        </w:rPr>
        <w:t>LIEBIGSTRAßE 22</w:t>
      </w:r>
    </w:p>
    <w:p w14:paraId="3FB0AAB8" w14:textId="77777777" w:rsidR="00555ED9" w:rsidRDefault="00000000">
      <w:pPr>
        <w:spacing w:after="360"/>
        <w:jc w:val="center"/>
      </w:pPr>
      <w:r>
        <w:rPr>
          <w:b/>
          <w:bCs/>
        </w:rPr>
        <w:t>D-80538 MÜNCHEN</w:t>
      </w:r>
    </w:p>
    <w:p w14:paraId="7792319A" w14:textId="77777777" w:rsidR="00555ED9" w:rsidRDefault="00555ED9">
      <w:pPr>
        <w:pBdr>
          <w:bottom w:val="single" w:sz="8" w:space="1" w:color="000000"/>
        </w:pBdr>
        <w:spacing w:before="60" w:after="60"/>
      </w:pPr>
    </w:p>
    <w:p w14:paraId="5949F7BC" w14:textId="77777777" w:rsidR="00DD6544" w:rsidRDefault="00DD6544" w:rsidP="00DD6544">
      <w:pPr>
        <w:spacing w:before="200" w:after="200"/>
        <w:jc w:val="center"/>
      </w:pPr>
      <w:r>
        <w:rPr>
          <w:b/>
          <w:bCs/>
          <w:color w:val="2623C1"/>
          <w:sz w:val="36"/>
          <w:szCs w:val="36"/>
        </w:rPr>
        <w:t>SHAREHOLDER ENGAGEMENT POLICY</w:t>
      </w:r>
    </w:p>
    <w:p w14:paraId="305D8917" w14:textId="77777777" w:rsidR="00555ED9" w:rsidRDefault="00555ED9">
      <w:pPr>
        <w:pBdr>
          <w:bottom w:val="single" w:sz="8" w:space="1" w:color="000000"/>
        </w:pBdr>
        <w:spacing w:before="60" w:after="60"/>
      </w:pPr>
    </w:p>
    <w:p w14:paraId="0F60F4CD" w14:textId="77777777" w:rsidR="00555ED9" w:rsidRDefault="00555ED9">
      <w:pPr>
        <w:spacing w:after="280"/>
      </w:pPr>
    </w:p>
    <w:p w14:paraId="159C0DDA" w14:textId="77777777" w:rsidR="00555ED9" w:rsidRDefault="00000000">
      <w:pPr>
        <w:spacing w:after="120"/>
        <w:jc w:val="center"/>
      </w:pPr>
      <w:r>
        <w:rPr>
          <w:sz w:val="20"/>
          <w:szCs w:val="20"/>
        </w:rPr>
        <w:t xml:space="preserve">gemäß </w:t>
      </w:r>
      <w:r>
        <w:rPr>
          <w:i/>
          <w:iCs/>
          <w:sz w:val="20"/>
          <w:szCs w:val="20"/>
        </w:rPr>
        <w:t>§ 134b Aktiengesetz (AktG)</w:t>
      </w:r>
      <w:r>
        <w:rPr>
          <w:sz w:val="20"/>
          <w:szCs w:val="20"/>
        </w:rPr>
        <w:t>,</w:t>
      </w:r>
    </w:p>
    <w:p w14:paraId="1ECC3293" w14:textId="77777777" w:rsidR="00555ED9" w:rsidRDefault="00000000">
      <w:pPr>
        <w:spacing w:after="480"/>
        <w:jc w:val="center"/>
      </w:pPr>
      <w:r>
        <w:rPr>
          <w:sz w:val="20"/>
          <w:szCs w:val="20"/>
        </w:rPr>
        <w:t>in Umsetzung von Artikel 3g der Aktionärsrechterichtlinie II (Richtlinie (EU) 2017/828, „SRD II“).</w:t>
      </w:r>
    </w:p>
    <w:p w14:paraId="1ABCE4BB" w14:textId="77777777" w:rsidR="00555ED9" w:rsidRDefault="00000000">
      <w:pPr>
        <w:spacing w:before="320" w:after="140" w:line="300" w:lineRule="auto"/>
      </w:pPr>
      <w:r>
        <w:rPr>
          <w:b/>
          <w:bCs/>
          <w:sz w:val="24"/>
          <w:szCs w:val="24"/>
        </w:rPr>
        <w:t>Einführung und Zielsetzung</w:t>
      </w:r>
    </w:p>
    <w:p w14:paraId="5B9F9DAB" w14:textId="77777777" w:rsidR="00555ED9" w:rsidRDefault="00000000">
      <w:pPr>
        <w:spacing w:after="160" w:line="300" w:lineRule="auto"/>
        <w:jc w:val="both"/>
      </w:pPr>
      <w:r>
        <w:t>Die Ultramarin Capital GmbH (nachfolgend „Ultramarin Capital“ oder die „Gesellschaft“) ist ein Wertpapierinstitut mit Sitz in München, das institutionellen Kunden KI-basierte Investmentlösungen anbietet. Im Rahmen ihrer Tätigkeit verwaltet die Gesellschaft unter anderem Investmentfonds, Strukturierte Produkte und Managed Accounts, die in Aktien investieren, einschließlich Aktien von Gesellschaften, die zum Handel an einem in einem Mitgliedstaat der Europäischen Union gelegenen oder dort betriebenen geregelten Markt zugelassen sind („EU-börsennotierte Gesellschaften“).</w:t>
      </w:r>
    </w:p>
    <w:p w14:paraId="15708AC1" w14:textId="77777777" w:rsidR="00555ED9" w:rsidRDefault="00000000">
      <w:pPr>
        <w:spacing w:after="160" w:line="300" w:lineRule="auto"/>
        <w:jc w:val="both"/>
      </w:pPr>
      <w:r>
        <w:t>Die Gesellschaft fällt damit in den Anwendungsbereich der Offenlegungspflichten der Zweiten Aktionärsrechterichtlinie (Richtlinie (EU) 2017/828, „SRD II“) und insbesondere in den Anwendungsbereich von Artikel 3g, der durch das ARUG II in deutsches Recht umgesetzt und in § 134b Aktiengesetz (AktG) verankert wurde.</w:t>
      </w:r>
    </w:p>
    <w:p w14:paraId="1987DB98" w14:textId="77777777" w:rsidR="00555ED9" w:rsidRDefault="00000000">
      <w:pPr>
        <w:spacing w:after="160" w:line="300" w:lineRule="auto"/>
        <w:jc w:val="both"/>
      </w:pPr>
      <w:r>
        <w:t>Diese Mitwirkungspolitik (die „Politik“) legt die Grundsätze fest, nach denen die Gesellschaft die Mitwirkung als Aktionärin im Hinblick auf EU-börsennotierte Gesellschaften ausübt, deren Aktien in den von ihr verwalteten Portfolios gehalten werden. Soweit die Gesellschaft bestimmte in § 134b AktG genannte Tätigkeiten nicht ausübt, enthält diese Politik gemäß dem in § 134b Abs. 4 AktG vorgesehenen „comply or explain“-Ansatz eine klare und begründete Erläuterung.</w:t>
      </w:r>
    </w:p>
    <w:p w14:paraId="0C0002A8" w14:textId="77777777" w:rsidR="00555ED9" w:rsidRDefault="00000000">
      <w:pPr>
        <w:spacing w:after="160" w:line="300" w:lineRule="auto"/>
        <w:jc w:val="both"/>
      </w:pPr>
      <w:r>
        <w:t>Diese Politik gilt für alle von der Gesellschaft für ihre Kunden verwalteten Vermögenswerte, die Aktien EU-börsennotierter Gesellschaften enthalten, unabhängig vom jeweiligen Investmentvehikel oder Mandat. Sie gilt nicht für Anlagen außerhalb dieses Anwendungsbereichs (z. B. Aktien außerhalb der EU, Rentenpapiere, Derivate, Dachfondsallokationen), soweit nicht ausdrücklich anders angegeben.</w:t>
      </w:r>
    </w:p>
    <w:p w14:paraId="77728F7D" w14:textId="77777777" w:rsidR="00555ED9" w:rsidRDefault="00000000">
      <w:pPr>
        <w:spacing w:before="320" w:after="140" w:line="300" w:lineRule="auto"/>
      </w:pPr>
      <w:r>
        <w:rPr>
          <w:b/>
          <w:bCs/>
          <w:sz w:val="24"/>
          <w:szCs w:val="24"/>
        </w:rPr>
        <w:lastRenderedPageBreak/>
        <w:t>Investmentansatz der Gesellschaft</w:t>
      </w:r>
    </w:p>
    <w:p w14:paraId="00F7B1EA" w14:textId="77777777" w:rsidR="00555ED9" w:rsidRDefault="00000000">
      <w:pPr>
        <w:spacing w:after="160" w:line="300" w:lineRule="auto"/>
        <w:jc w:val="both"/>
      </w:pPr>
      <w:r>
        <w:t>Ein Verständnis des Investmentansatzes der Gesellschaft ist wesentlich, um die nachfolgend dargelegten Mitwirkungsgrundsätze – und insbesondere die „comply or explain“-Erläuterungen – nachvollziehen zu können.</w:t>
      </w:r>
    </w:p>
    <w:p w14:paraId="39710918" w14:textId="77777777" w:rsidR="00555ED9" w:rsidRDefault="00000000">
      <w:pPr>
        <w:spacing w:after="160" w:line="300" w:lineRule="auto"/>
        <w:jc w:val="both"/>
      </w:pPr>
      <w:r>
        <w:rPr>
          <w:b/>
          <w:bCs/>
        </w:rPr>
        <w:t xml:space="preserve">Systematischer, KI-basierter Investmentprozess. </w:t>
      </w:r>
      <w:r>
        <w:t>Die Gesellschaft verwaltet Aktienportfolios anhand eines proprietären, vollständig systematischen Investmentprozesses auf Basis von Machine-Learning-Modellen. Anlageentscheidungen – einschließlich Titelauswahl, Positionsgrößen, taktischer Allokation und Rebalancing – werden durch quantitative Modelle generiert, die große Mengen heterogener Daten (Finanzkennzahlen, Marktdaten, alternative Datenquellen) verarbeiten. Eine diskretionäre Einflussnahme auf Ebene einzelner Portfoliogesellschaften ist konzeptionell begrenzt.</w:t>
      </w:r>
    </w:p>
    <w:p w14:paraId="4076A234" w14:textId="77777777" w:rsidR="00555ED9" w:rsidRDefault="00000000">
      <w:pPr>
        <w:spacing w:after="160" w:line="300" w:lineRule="auto"/>
        <w:jc w:val="both"/>
      </w:pPr>
      <w:r>
        <w:rPr>
          <w:b/>
          <w:bCs/>
        </w:rPr>
        <w:t xml:space="preserve">Breite Diversifikation und kleine Einzelpositionen. </w:t>
      </w:r>
      <w:r>
        <w:t>Die von der Gesellschaft umgesetzten Strategien führen typischerweise zu breit diversifizierten Portfolios mit mehreren hundert Titeln. Einzelne Positionen sind in absoluten Beträgen wie auch im Verhältnis zum Streubesitz des Emittenten in der Regel klein. Die Gesellschaft hält im normalen Geschäftsverlauf keine Positionen, die einen wesentlichen Einfluss auf die Geschäftsführung oder Strategie einer einzelnen EU-börsennotierten Gesellschaft begründen würden.</w:t>
      </w:r>
    </w:p>
    <w:p w14:paraId="22398AF2" w14:textId="77777777" w:rsidR="00555ED9" w:rsidRDefault="00000000">
      <w:pPr>
        <w:spacing w:after="160" w:line="300" w:lineRule="auto"/>
        <w:jc w:val="both"/>
      </w:pPr>
      <w:r>
        <w:rPr>
          <w:b/>
          <w:bCs/>
        </w:rPr>
        <w:t xml:space="preserve">Modellgetriebener Anlagehorizont und Umschlag. </w:t>
      </w:r>
      <w:r>
        <w:t>Haltedauern ergeben sich aus den Signalen der Modelle und nicht aus einer fundamentalen, emittenten­spezifischen Langfristbetrachtung. Positionen werden auf- und abgebaut, sobald sich die Modell­inputs verändern. Dies unterscheidet sich grundlegend von einer Long-only-Strategie mit konzentrierten, fundamental motivierten Positionen, bei der aktive Mitwirkung mit dem Management eines Investmentemittenten ein natürlicher Bestandteil des Anlageprozesses wäre.</w:t>
      </w:r>
    </w:p>
    <w:p w14:paraId="14942887" w14:textId="77777777" w:rsidR="00555ED9" w:rsidRDefault="00000000">
      <w:pPr>
        <w:spacing w:before="320" w:after="140" w:line="300" w:lineRule="auto"/>
      </w:pPr>
      <w:r>
        <w:rPr>
          <w:b/>
          <w:bCs/>
          <w:sz w:val="24"/>
          <w:szCs w:val="24"/>
        </w:rPr>
        <w:t>Grundsatzerklärung zur Mitwirkung</w:t>
      </w:r>
    </w:p>
    <w:p w14:paraId="12E388E1" w14:textId="77777777" w:rsidR="00555ED9" w:rsidRDefault="00000000">
      <w:pPr>
        <w:spacing w:after="160" w:line="300" w:lineRule="auto"/>
        <w:jc w:val="both"/>
      </w:pPr>
      <w:r>
        <w:t>Die Gesellschaft erkennt an, dass eine gute Unternehmensführung, nachhaltige Geschäftspraktiken und der Schutz von Minderheitsaktionärsrechten wichtige Faktoren sind, die langfristig zur finanziellen Performance der Portfoliogesellschaften und zur Stabilität des Finanzsystems insgesamt beitragen können.</w:t>
      </w:r>
    </w:p>
    <w:p w14:paraId="3E06DE4E" w14:textId="77777777" w:rsidR="00555ED9" w:rsidRDefault="00000000">
      <w:pPr>
        <w:spacing w:after="160" w:line="300" w:lineRule="auto"/>
        <w:jc w:val="both"/>
      </w:pPr>
      <w:r>
        <w:t>Innerhalb der Grenzen ihres systematischen Investmentansatzes vertritt die Gesellschaft jedoch die Auffassung, dass eine aktive Mitwirkung gegenüber dem Management einzelner Portfoliogesellschaften – im Sinne eines Dialogs zu Strategie, Performance, Risiken, Kapitalstruktur und ESG-Themen – grundsätzlich kein wirksames oder verhältnismäßiges Instrument zur Erreichung der Anlageziele ihrer Kunden ist. Die Gesellschaft betreibt daher derzeit kein aktives Mitwirkungsprogramm, wie es typischerweise von fundamental ausgerichteten Long-only-Vermögensverwaltern unterhalten wird.</w:t>
      </w:r>
    </w:p>
    <w:p w14:paraId="288B2384" w14:textId="77777777" w:rsidR="00555ED9" w:rsidRDefault="00000000">
      <w:pPr>
        <w:spacing w:after="160" w:line="300" w:lineRule="auto"/>
        <w:jc w:val="both"/>
      </w:pPr>
      <w:r>
        <w:lastRenderedPageBreak/>
        <w:t>Im Einklang mit § 134b Abs. 4 AktG beschreiben die folgenden Abschnitte für jeden der in § 134b Abs. 1 und 2 AktG geregelten Elemente entweder, wie die Gesellschaft die Anforderung erfüllt, oder die begründete Erläuterung, warum dies nicht der Fall ist.</w:t>
      </w:r>
    </w:p>
    <w:p w14:paraId="7CDE35DF" w14:textId="77777777" w:rsidR="00555ED9" w:rsidRDefault="00000000">
      <w:pPr>
        <w:spacing w:before="320" w:after="140" w:line="300" w:lineRule="auto"/>
      </w:pPr>
      <w:r>
        <w:rPr>
          <w:b/>
          <w:bCs/>
          <w:sz w:val="24"/>
          <w:szCs w:val="24"/>
        </w:rPr>
        <w:t>Überwachung der Portfoliogesellschaften</w:t>
      </w:r>
    </w:p>
    <w:p w14:paraId="73C5B1AE" w14:textId="77777777" w:rsidR="00555ED9" w:rsidRDefault="00000000">
      <w:pPr>
        <w:spacing w:after="160" w:line="300" w:lineRule="auto"/>
        <w:jc w:val="both"/>
      </w:pPr>
      <w:r>
        <w:t>Anforderung: Überwachung der Portfoliogesellschaften in maßgeblichen Angelegenheiten, einschließlich Strategie, finanzieller und nicht-finanzieller Leistung, Risiken, Kapitalstruktur, sozialer und ökologischer Auswirkungen sowie Corporate Governance.</w:t>
      </w:r>
    </w:p>
    <w:p w14:paraId="023E6237" w14:textId="77777777" w:rsidR="00555ED9" w:rsidRDefault="00000000">
      <w:pPr>
        <w:spacing w:after="160" w:line="300" w:lineRule="auto"/>
        <w:jc w:val="both"/>
      </w:pPr>
      <w:r>
        <w:rPr>
          <w:b/>
          <w:bCs/>
        </w:rPr>
        <w:t xml:space="preserve">Vorgehensweise. </w:t>
      </w:r>
      <w:r>
        <w:t>Die Gesellschaft überwacht Portfoliogesellschaften vorrangig über die Daten­eingaben und Signale, die ihre quantitativen Modelle verarbeiten. Diese Inputs umfassen unter anderem Finanzkennzahlen, Marktdaten, Newsflow und ausgewählte ESG-relevante Daten. Die Überwachung erfolgt damit systematisch, modellgetrieben und einheitlich für ein großes Anlageuniversum und nicht diskretionär auf Ebene einzelner Gesellschaften. Die Gesellschaft unterhält kein eigenes Stewardship-Team, das über das hinausgeht, was die Modelle, das Risikorahmenwerk und die regulatorischen Anforderungen erfordern.</w:t>
      </w:r>
    </w:p>
    <w:p w14:paraId="2E4A9127" w14:textId="77777777" w:rsidR="00555ED9" w:rsidRDefault="00000000">
      <w:pPr>
        <w:spacing w:before="320" w:after="140" w:line="300" w:lineRule="auto"/>
      </w:pPr>
      <w:r>
        <w:rPr>
          <w:b/>
          <w:bCs/>
          <w:sz w:val="24"/>
          <w:szCs w:val="24"/>
        </w:rPr>
        <w:t>Dialog mit Portfoliogesellschaften</w:t>
      </w:r>
    </w:p>
    <w:p w14:paraId="7DAF4F59" w14:textId="77777777" w:rsidR="00555ED9" w:rsidRDefault="00000000">
      <w:pPr>
        <w:spacing w:after="160" w:line="300" w:lineRule="auto"/>
        <w:jc w:val="both"/>
      </w:pPr>
      <w:r>
        <w:t>Anforderung: Durchführung von Dialogen mit Portfoliogesellschaften (deren Organen).</w:t>
      </w:r>
    </w:p>
    <w:p w14:paraId="4983F36E" w14:textId="77777777" w:rsidR="00555ED9" w:rsidRDefault="00000000">
      <w:pPr>
        <w:spacing w:after="160" w:line="300" w:lineRule="auto"/>
        <w:jc w:val="both"/>
      </w:pPr>
      <w:r>
        <w:rPr>
          <w:b/>
          <w:bCs/>
        </w:rPr>
        <w:t xml:space="preserve">Erläuterung (comply or explain). </w:t>
      </w:r>
      <w:r>
        <w:t>Aufgrund des systematischen Charakters des Investmentprozesses, der typischerweise kleinen Einzelpositionen und der hohen Anzahl von Beteiligungen sieht die Gesellschaft einen direkten Dialog mit der Geschäftsführung oder den Aufsichtsorganen einzelner EU-börsennotierter Gesellschaften nicht als verhältnismäßiges oder wirksames Instrument an. Die Gesellschaft initiiert oder führt solche Dialoge daher in der Regel nicht. Tritt eine Portfoliogesellschaft von sich aus an die Gesellschaft heran, wird die Anfrage im Einzelfall geprüft.</w:t>
      </w:r>
    </w:p>
    <w:p w14:paraId="661EA497" w14:textId="77777777" w:rsidR="00555ED9" w:rsidRDefault="00000000">
      <w:pPr>
        <w:spacing w:before="320" w:after="140" w:line="300" w:lineRule="auto"/>
      </w:pPr>
      <w:r>
        <w:rPr>
          <w:b/>
          <w:bCs/>
          <w:sz w:val="24"/>
          <w:szCs w:val="24"/>
        </w:rPr>
        <w:t>Ausübung von Stimmrechten</w:t>
      </w:r>
    </w:p>
    <w:p w14:paraId="409D28B2" w14:textId="77777777" w:rsidR="00555ED9" w:rsidRDefault="00000000">
      <w:pPr>
        <w:spacing w:after="160" w:line="300" w:lineRule="auto"/>
        <w:jc w:val="both"/>
      </w:pPr>
      <w:r>
        <w:t>Anforderung: Ausübung von Stimmrechten und sonstigen mit Aktien verbundenen Rechten.</w:t>
      </w:r>
    </w:p>
    <w:p w14:paraId="682F0775" w14:textId="77777777" w:rsidR="00555ED9" w:rsidRDefault="00000000">
      <w:pPr>
        <w:spacing w:after="160" w:line="300" w:lineRule="auto"/>
        <w:jc w:val="both"/>
      </w:pPr>
      <w:r>
        <w:rPr>
          <w:b/>
          <w:bCs/>
        </w:rPr>
        <w:t xml:space="preserve">Erläuterung (comply or explain). </w:t>
      </w:r>
      <w:r>
        <w:t>Die mit Aktien EU-börsennotierter Gesellschaften verbundenen Stimmrechte werden im Regelfall vom rechtlichen Eigentümer der Aktien ausgeübt und nicht von der Gesellschaft. Bei Investmentfonds werden Stimmrechte typischerweise durch die Kapitalverwaltungs­gesellschaft (KVG) bzw. die Verwahrstelle nach Maßgabe der jeweiligen Fondsbedingungen und Abstimmungs­grundsätze ausgeübt. Bei Managed Accounts und Strukturierten Produkten verbleiben die Stimmrechte beim zugrunde liegenden Kunden bzw. beim Emittenten der Struktur. Die Gesellschaft übt im normalen Geschäftsverlauf daher selbst keine Stimmrechte für ihre Kunden aus.</w:t>
      </w:r>
    </w:p>
    <w:p w14:paraId="6F3E08B0" w14:textId="77777777" w:rsidR="00555ED9" w:rsidRDefault="00000000">
      <w:pPr>
        <w:spacing w:after="160" w:line="300" w:lineRule="auto"/>
        <w:jc w:val="both"/>
      </w:pPr>
      <w:r>
        <w:t xml:space="preserve">Sollten Stimmrechte ausnahmsweise im Rahmen eines konkreten Mandats auf die Gesellschaft übertragen werden, vereinbart die Gesellschaft mit dem jeweiligen Kunden </w:t>
      </w:r>
      <w:r>
        <w:lastRenderedPageBreak/>
        <w:t>geeignete Abstimmungs­regelungen (gegebenenfalls unter Einbindung eines Stimmrechtsberaters) und legt diese im jährlichen Mitwirkungsbericht offen.</w:t>
      </w:r>
    </w:p>
    <w:p w14:paraId="39E04B70" w14:textId="77777777" w:rsidR="00555ED9" w:rsidRDefault="00000000">
      <w:pPr>
        <w:spacing w:before="320" w:after="140" w:line="300" w:lineRule="auto"/>
      </w:pPr>
      <w:r>
        <w:rPr>
          <w:b/>
          <w:bCs/>
          <w:sz w:val="24"/>
          <w:szCs w:val="24"/>
        </w:rPr>
        <w:t>Zusammenarbeit mit anderen Aktionären</w:t>
      </w:r>
    </w:p>
    <w:p w14:paraId="6CBAD922" w14:textId="77777777" w:rsidR="00555ED9" w:rsidRDefault="00000000">
      <w:pPr>
        <w:spacing w:after="160" w:line="300" w:lineRule="auto"/>
        <w:jc w:val="both"/>
      </w:pPr>
      <w:r>
        <w:t>Anforderung: Zusammenarbeit mit anderen Aktionären.</w:t>
      </w:r>
    </w:p>
    <w:p w14:paraId="5728D833" w14:textId="77777777" w:rsidR="00555ED9" w:rsidRDefault="00000000">
      <w:pPr>
        <w:spacing w:after="160" w:line="300" w:lineRule="auto"/>
        <w:jc w:val="both"/>
      </w:pPr>
      <w:r>
        <w:rPr>
          <w:b/>
          <w:bCs/>
        </w:rPr>
        <w:t xml:space="preserve">Erläuterung (comply or explain). </w:t>
      </w:r>
      <w:r>
        <w:t>Die Gesellschaft arbeitet grundsätzlich nicht mit anderen Aktionären zusammen, um die Geschäftsführung oder Strategie einer EU-börsennotierten Gesellschaft zu beeinflussen. Eine abgestimmte Vorgehensweise wäre mit dem systematischen Investmentansatz der Gesellschaft nicht vereinbar und könnte Risiken eines „acting in concert“ begründen. Die Gesellschaft tauscht mit anderen Marktteilnehmern lediglich rein technische oder operative Informationen aus, soweit dies gesetzlich oder marktüblich erforderlich ist (z. B. Mitteilungs- und Offenlegungspflichten).</w:t>
      </w:r>
    </w:p>
    <w:p w14:paraId="54FAF71D" w14:textId="77777777" w:rsidR="00555ED9" w:rsidRDefault="00000000">
      <w:pPr>
        <w:spacing w:before="320" w:after="140" w:line="300" w:lineRule="auto"/>
      </w:pPr>
      <w:r>
        <w:rPr>
          <w:b/>
          <w:bCs/>
          <w:sz w:val="24"/>
          <w:szCs w:val="24"/>
        </w:rPr>
        <w:t>Kommunikation mit maßgeblichen Stakeholdern der Portfoliogesellschaften</w:t>
      </w:r>
    </w:p>
    <w:p w14:paraId="3AE70487" w14:textId="77777777" w:rsidR="00555ED9" w:rsidRDefault="00000000">
      <w:pPr>
        <w:spacing w:after="160" w:line="300" w:lineRule="auto"/>
        <w:jc w:val="both"/>
      </w:pPr>
      <w:r>
        <w:t>Anforderung: Kommunikation mit maßgeblichen Stakeholdern der Portfoliogesellschaften.</w:t>
      </w:r>
    </w:p>
    <w:p w14:paraId="4BA58596" w14:textId="77777777" w:rsidR="00555ED9" w:rsidRDefault="00000000">
      <w:pPr>
        <w:spacing w:after="160" w:line="300" w:lineRule="auto"/>
        <w:jc w:val="both"/>
      </w:pPr>
      <w:r>
        <w:rPr>
          <w:b/>
          <w:bCs/>
        </w:rPr>
        <w:t xml:space="preserve">Erläuterung (comply or explain). </w:t>
      </w:r>
      <w:r>
        <w:t>Aus denselben Gründen, die in den vorstehenden Abschnitten dargestellt sind, sucht die Gesellschaft keinen aktiven Dialog mit Stakeholdern der Portfoliogesellschaften (z. B. Arbeitnehmervertretern, NGOs). Erhält die Gesellschaft unaufgefordert Informationen von solchen Stakeholdern, werden diese berücksichtigt, soweit sie für die Modellinputs oder das Risiko­rahmenwerk der Gesellschaft relevant sind.</w:t>
      </w:r>
    </w:p>
    <w:p w14:paraId="28029D77" w14:textId="77777777" w:rsidR="00555ED9" w:rsidRDefault="00000000">
      <w:pPr>
        <w:spacing w:before="320" w:after="140" w:line="300" w:lineRule="auto"/>
      </w:pPr>
      <w:r>
        <w:rPr>
          <w:b/>
          <w:bCs/>
          <w:sz w:val="24"/>
          <w:szCs w:val="24"/>
        </w:rPr>
        <w:t>Umgang mit tatsächlichen und potenziellen Interessenkonflikten</w:t>
      </w:r>
    </w:p>
    <w:p w14:paraId="075FAD22" w14:textId="77777777" w:rsidR="00555ED9" w:rsidRDefault="00000000">
      <w:pPr>
        <w:spacing w:after="160" w:line="300" w:lineRule="auto"/>
        <w:jc w:val="both"/>
      </w:pPr>
      <w:r>
        <w:t>Anforderung: Umgang mit tatsächlichen und potenziellen Interessenkonflikten im Zusammenhang mit der Mitwirkung.</w:t>
      </w:r>
    </w:p>
    <w:p w14:paraId="7C81AF17" w14:textId="77777777" w:rsidR="00555ED9" w:rsidRDefault="00000000">
      <w:pPr>
        <w:spacing w:after="160" w:line="300" w:lineRule="auto"/>
        <w:jc w:val="both"/>
      </w:pPr>
      <w:r>
        <w:rPr>
          <w:b/>
          <w:bCs/>
        </w:rPr>
        <w:t xml:space="preserve">Vorgehensweise. </w:t>
      </w:r>
      <w:r>
        <w:t>Da die Gesellschaft kein aktives Mitwirkungsprogramm unterhält, ist der Kreis der mitwirkungsbezogenen Interessenkonflikte begrenzt. Soweit solche Konflikte gleichwohl entstehen können (etwa im Rahmen eines unaufgeforderten Dialogs mit einer Portfoliogesellschaft oder im Zusammenhang mit der ausnahmsweisen Stimmrechtsausübung unter einem konkreten Mandat), werden sie nach der Richtlinie zum Umgang mit Interessenkonflikten der Gesellschaft behandelt, die auf der Webseite im Bereich MiFID veröffentlicht ist.</w:t>
      </w:r>
    </w:p>
    <w:p w14:paraId="1626F8F9" w14:textId="77777777" w:rsidR="00555ED9" w:rsidRDefault="00000000">
      <w:pPr>
        <w:spacing w:after="160" w:line="300" w:lineRule="auto"/>
        <w:jc w:val="both"/>
      </w:pPr>
      <w:r>
        <w:t>Die Richtlinie zum Umgang mit Interessenkonflikten setzt die Anforderungen aus MiFID II in deutsches Recht um, insbesondere über das Wertpapierinstitutsgesetz (WpIG) und das Wertpapierhandelsgesetz (WpHG). Sie regelt die organisatorischen und administrativen Vorkehrungen zur Identifikation, Bewertung, Dokumentation, Überwachung und gegebenenfalls Beilegung oder Offenlegung von Interessenkonflikten, einschließlich Chinese Walls, Mitarbeiter­schulungen und Regelungen zu Mitarbeitergeschäften, einer Best-Execution-Policy, Regelungen zu Zuwendungen im Sinne von § 70 WpHG sowie einer Vergütungsstruktur, die Anreize gegen die Kundeninteressen vermeiden soll.</w:t>
      </w:r>
    </w:p>
    <w:p w14:paraId="702A266C" w14:textId="77777777" w:rsidR="00555ED9" w:rsidRDefault="00000000">
      <w:pPr>
        <w:spacing w:after="160" w:line="300" w:lineRule="auto"/>
        <w:jc w:val="both"/>
      </w:pPr>
      <w:r>
        <w:lastRenderedPageBreak/>
        <w:t>Die Gesellschaft hat eine Compliance-Funktion und einen Compliance-Beauftragten eingerichtet, der ein Interessenkonflikt­register führt, dieses mindestens einmal jährlich überprüft und identifizierte Konflikte an die Geschäftsleitung berichtet. Mitwirkungsbezogene Konflikte werden, sofern sie auftreten, innerhalb dieses Rahmens behandelt. Lässt sich ein Konflikt nicht vermeiden und nicht intern beilegen, wird er dem betroffenen Kunden im Einklang mit der Richtlinie zum Umgang mit Interessenkonflikten offengelegt.</w:t>
      </w:r>
    </w:p>
    <w:p w14:paraId="1C10DF65" w14:textId="77777777" w:rsidR="00555ED9" w:rsidRDefault="00000000">
      <w:pPr>
        <w:spacing w:before="320" w:after="140" w:line="300" w:lineRule="auto"/>
      </w:pPr>
      <w:r>
        <w:rPr>
          <w:b/>
          <w:bCs/>
          <w:sz w:val="24"/>
          <w:szCs w:val="24"/>
        </w:rPr>
        <w:t>Jährlicher Mitwirkungsbericht</w:t>
      </w:r>
    </w:p>
    <w:p w14:paraId="4E56D738" w14:textId="77777777" w:rsidR="00555ED9" w:rsidRDefault="00000000">
      <w:pPr>
        <w:spacing w:after="160" w:line="300" w:lineRule="auto"/>
        <w:jc w:val="both"/>
      </w:pPr>
      <w:r>
        <w:t>Gemäß § 134b Abs. 2 AktG veröffentlicht die Gesellschaft einmal jährlich einen Mitwirkungs­bericht, der die Umsetzung dieser Politik im jeweiligen Berichtszeitraum darstellt.</w:t>
      </w:r>
    </w:p>
    <w:p w14:paraId="748B5BA7" w14:textId="77777777" w:rsidR="00555ED9" w:rsidRDefault="00000000">
      <w:pPr>
        <w:spacing w:after="160" w:line="300" w:lineRule="auto"/>
        <w:jc w:val="both"/>
      </w:pPr>
      <w:r>
        <w:t>Soweit keine Mitwirkungstätigkeiten ausgeübt wurden, stellt der Mitwirkungsbericht dies fest und verweist auf die entsprechenden „comply or explain“-Erläuterungen in dieser Politik. Soweit die Gesellschaft ausnahmsweise Stimmrechte ausgeübt oder Dialoge geführt hat, enthält der Mitwirkungsbericht:</w:t>
      </w:r>
    </w:p>
    <w:p w14:paraId="21480D7B" w14:textId="77777777" w:rsidR="00555ED9" w:rsidRDefault="00000000">
      <w:pPr>
        <w:pStyle w:val="ListParagraph"/>
        <w:numPr>
          <w:ilvl w:val="0"/>
          <w:numId w:val="2"/>
        </w:numPr>
        <w:spacing w:after="80" w:line="300" w:lineRule="auto"/>
        <w:jc w:val="both"/>
      </w:pPr>
      <w:r>
        <w:t>eine allgemeine Beschreibung des Abstimmungsverhaltens im Berichtszeitraum;</w:t>
      </w:r>
    </w:p>
    <w:p w14:paraId="6439EC3E" w14:textId="77777777" w:rsidR="00555ED9" w:rsidRDefault="00000000">
      <w:pPr>
        <w:pStyle w:val="ListParagraph"/>
        <w:numPr>
          <w:ilvl w:val="0"/>
          <w:numId w:val="2"/>
        </w:numPr>
        <w:spacing w:after="80" w:line="300" w:lineRule="auto"/>
        <w:jc w:val="both"/>
      </w:pPr>
      <w:r>
        <w:t>eine Erläuterung der wichtigsten Abstimmungen (sofern vorhanden);</w:t>
      </w:r>
    </w:p>
    <w:p w14:paraId="1D28E815" w14:textId="77777777" w:rsidR="00555ED9" w:rsidRDefault="00000000">
      <w:pPr>
        <w:pStyle w:val="ListParagraph"/>
        <w:numPr>
          <w:ilvl w:val="0"/>
          <w:numId w:val="2"/>
        </w:numPr>
        <w:spacing w:after="80" w:line="300" w:lineRule="auto"/>
        <w:jc w:val="both"/>
      </w:pPr>
      <w:r>
        <w:t>Angaben zur Inanspruchnahme von Stimmrechtsberatern (sofern vorhanden); und</w:t>
      </w:r>
    </w:p>
    <w:p w14:paraId="455C3423" w14:textId="77777777" w:rsidR="00555ED9" w:rsidRDefault="00000000">
      <w:pPr>
        <w:pStyle w:val="ListParagraph"/>
        <w:numPr>
          <w:ilvl w:val="0"/>
          <w:numId w:val="2"/>
        </w:numPr>
        <w:spacing w:after="80" w:line="300" w:lineRule="auto"/>
        <w:jc w:val="both"/>
      </w:pPr>
      <w:r>
        <w:t>eine Zusammenfassung etwaiger direkter Dialoge mit Portfoliogesellschaften (sofern vorhanden).</w:t>
      </w:r>
    </w:p>
    <w:p w14:paraId="7D48F9A1" w14:textId="77777777" w:rsidR="00555ED9" w:rsidRDefault="00000000">
      <w:pPr>
        <w:spacing w:after="160" w:line="300" w:lineRule="auto"/>
        <w:jc w:val="both"/>
      </w:pPr>
      <w:r>
        <w:t>Hat die Gesellschaft im Berichtszeitraum weder Stimmrechte ausgeübt noch Dialoge geführt, wird dies im Mitwirkungsbericht festgestellt und im Einklang mit dieser Politik begründet.</w:t>
      </w:r>
    </w:p>
    <w:p w14:paraId="739D8A4C" w14:textId="77777777" w:rsidR="00555ED9" w:rsidRDefault="00000000">
      <w:pPr>
        <w:spacing w:before="320" w:after="140" w:line="300" w:lineRule="auto"/>
      </w:pPr>
      <w:r>
        <w:rPr>
          <w:b/>
          <w:bCs/>
          <w:sz w:val="24"/>
          <w:szCs w:val="24"/>
        </w:rPr>
        <w:t>Überprüfung, Aktualisierung und Governance</w:t>
      </w:r>
    </w:p>
    <w:p w14:paraId="7DCF8CB4" w14:textId="77777777" w:rsidR="00555ED9" w:rsidRDefault="00000000">
      <w:pPr>
        <w:spacing w:after="160" w:line="300" w:lineRule="auto"/>
        <w:jc w:val="both"/>
      </w:pPr>
      <w:r>
        <w:t>Diese Politik wird von der Geschäftsleitung der Gesellschaft beschlossen und mindestens einmal jährlich sowie anlassbezogen überprüft, wenn wesentliche Änderungen eintreten (zum Beispiel Änderungen des Investmentansatzes, des Produktangebots oder des anwendbaren regulatorischen Rahmens).</w:t>
      </w:r>
    </w:p>
    <w:p w14:paraId="1E55C26A" w14:textId="77777777" w:rsidR="00555ED9" w:rsidRDefault="00000000">
      <w:pPr>
        <w:spacing w:after="160" w:line="300" w:lineRule="auto"/>
        <w:jc w:val="both"/>
      </w:pPr>
      <w:r>
        <w:t>Sollten sich der Investmentansatz, das Produktangebot oder der Geschäftsumfang der Gesellschaft in einer Weise ändern, dass eine aktive Mitwirkung für die Kunden verhältnismäßig und werthaltig wird, wird diese Politik entsprechend angepasst. Die „comply or explain“-Erläuterung wird insoweit durch eine tatsächliche Beschreibung der ausgeübten Mitwirkungstätigkeiten ersetzt.</w:t>
      </w:r>
    </w:p>
    <w:p w14:paraId="5B101B12" w14:textId="77777777" w:rsidR="00555ED9" w:rsidRDefault="00000000">
      <w:pPr>
        <w:spacing w:before="320" w:after="140" w:line="300" w:lineRule="auto"/>
      </w:pPr>
      <w:r>
        <w:rPr>
          <w:b/>
          <w:bCs/>
          <w:sz w:val="24"/>
          <w:szCs w:val="24"/>
        </w:rPr>
        <w:t>Veröffentlichung und Verfügbarkeit</w:t>
      </w:r>
    </w:p>
    <w:p w14:paraId="13EB7515" w14:textId="77777777" w:rsidR="00555ED9" w:rsidRDefault="00000000">
      <w:pPr>
        <w:spacing w:after="160" w:line="300" w:lineRule="auto"/>
        <w:jc w:val="both"/>
      </w:pPr>
      <w:r>
        <w:t>Gemäß § 134b Abs. 4 AktG werden diese Politik und die jährlichen Mitwirkungsberichte im Investor-/Governance-Bereich der Webseite der Gesellschaft (www.ultramarin.ai) veröffentlicht und bleiben dort kostenfrei für mindestens drei Jahre abrufbar. Die Informationen werden mindestens einmal jährlich aktualisiert.</w:t>
      </w:r>
    </w:p>
    <w:p w14:paraId="4AF75D8D" w14:textId="77777777" w:rsidR="00555ED9" w:rsidRDefault="00555ED9">
      <w:pPr>
        <w:spacing w:after="360"/>
      </w:pPr>
    </w:p>
    <w:p w14:paraId="0ECCC989" w14:textId="77777777" w:rsidR="00555ED9" w:rsidRDefault="00000000">
      <w:pPr>
        <w:spacing w:before="320" w:after="140" w:line="300" w:lineRule="auto"/>
      </w:pPr>
      <w:r>
        <w:rPr>
          <w:b/>
          <w:bCs/>
          <w:sz w:val="24"/>
          <w:szCs w:val="24"/>
        </w:rPr>
        <w:t>Versionsverlauf</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600"/>
        <w:gridCol w:w="3826"/>
      </w:tblGrid>
      <w:tr w:rsidR="00555ED9" w14:paraId="064039B3" w14:textId="77777777">
        <w:tblPrEx>
          <w:tblCellMar>
            <w:top w:w="0" w:type="dxa"/>
            <w:bottom w:w="0" w:type="dxa"/>
          </w:tblCellMar>
        </w:tblPrEx>
        <w:trPr>
          <w:tblHeader/>
        </w:trPr>
        <w:tc>
          <w:tcPr>
            <w:tcW w:w="2600" w:type="dxa"/>
            <w:tcBorders>
              <w:top w:val="single" w:sz="6" w:space="0" w:color="000000"/>
              <w:left w:val="single" w:sz="4" w:space="0" w:color="CCCCCC"/>
              <w:bottom w:val="single" w:sz="6" w:space="0" w:color="000000"/>
              <w:right w:val="single" w:sz="4" w:space="0" w:color="CCCCCC"/>
            </w:tcBorders>
            <w:tcMar>
              <w:top w:w="100" w:type="dxa"/>
              <w:left w:w="140" w:type="dxa"/>
              <w:bottom w:w="100" w:type="dxa"/>
              <w:right w:w="140" w:type="dxa"/>
            </w:tcMar>
          </w:tcPr>
          <w:p w14:paraId="615C420B" w14:textId="77777777" w:rsidR="00555ED9" w:rsidRDefault="00000000">
            <w:r>
              <w:rPr>
                <w:b/>
                <w:bCs/>
              </w:rPr>
              <w:t>Stand</w:t>
            </w:r>
          </w:p>
        </w:tc>
        <w:tc>
          <w:tcPr>
            <w:tcW w:w="2600" w:type="dxa"/>
            <w:tcBorders>
              <w:top w:val="single" w:sz="6" w:space="0" w:color="000000"/>
              <w:left w:val="single" w:sz="4" w:space="0" w:color="CCCCCC"/>
              <w:bottom w:val="single" w:sz="6" w:space="0" w:color="000000"/>
              <w:right w:val="single" w:sz="4" w:space="0" w:color="CCCCCC"/>
            </w:tcBorders>
            <w:tcMar>
              <w:top w:w="100" w:type="dxa"/>
              <w:left w:w="140" w:type="dxa"/>
              <w:bottom w:w="100" w:type="dxa"/>
              <w:right w:w="140" w:type="dxa"/>
            </w:tcMar>
          </w:tcPr>
          <w:p w14:paraId="2B5E7F75" w14:textId="77777777" w:rsidR="00555ED9" w:rsidRDefault="00000000">
            <w:r>
              <w:rPr>
                <w:b/>
                <w:bCs/>
              </w:rPr>
              <w:t>Art der Revision</w:t>
            </w:r>
          </w:p>
        </w:tc>
        <w:tc>
          <w:tcPr>
            <w:tcW w:w="3826" w:type="dxa"/>
            <w:tcBorders>
              <w:top w:val="single" w:sz="6" w:space="0" w:color="000000"/>
              <w:left w:val="single" w:sz="4" w:space="0" w:color="CCCCCC"/>
              <w:bottom w:val="single" w:sz="6" w:space="0" w:color="000000"/>
              <w:right w:val="single" w:sz="4" w:space="0" w:color="CCCCCC"/>
            </w:tcBorders>
            <w:tcMar>
              <w:top w:w="100" w:type="dxa"/>
              <w:left w:w="140" w:type="dxa"/>
              <w:bottom w:w="100" w:type="dxa"/>
              <w:right w:w="140" w:type="dxa"/>
            </w:tcMar>
          </w:tcPr>
          <w:p w14:paraId="634C6EB6" w14:textId="77777777" w:rsidR="00555ED9" w:rsidRDefault="00000000">
            <w:r>
              <w:rPr>
                <w:b/>
                <w:bCs/>
              </w:rPr>
              <w:t>Änderungen</w:t>
            </w:r>
          </w:p>
        </w:tc>
      </w:tr>
      <w:tr w:rsidR="00555ED9" w14:paraId="0E4D19BB" w14:textId="77777777">
        <w:tblPrEx>
          <w:tblCellMar>
            <w:top w:w="0" w:type="dxa"/>
            <w:bottom w:w="0" w:type="dxa"/>
          </w:tblCellMar>
        </w:tblPrEx>
        <w:tc>
          <w:tcPr>
            <w:tcW w:w="26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68F24BFC" w14:textId="77777777" w:rsidR="00555ED9" w:rsidRDefault="00000000">
            <w:r>
              <w:t>01.05.2026</w:t>
            </w:r>
          </w:p>
        </w:tc>
        <w:tc>
          <w:tcPr>
            <w:tcW w:w="2600"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3259F916" w14:textId="77777777" w:rsidR="00555ED9" w:rsidRDefault="00000000">
            <w:r>
              <w:t>Implementierung</w:t>
            </w:r>
          </w:p>
        </w:tc>
        <w:tc>
          <w:tcPr>
            <w:tcW w:w="3826" w:type="dxa"/>
            <w:tcBorders>
              <w:top w:val="single" w:sz="4" w:space="0" w:color="CCCCCC"/>
              <w:left w:val="single" w:sz="4" w:space="0" w:color="CCCCCC"/>
              <w:bottom w:val="single" w:sz="4" w:space="0" w:color="CCCCCC"/>
              <w:right w:val="single" w:sz="4" w:space="0" w:color="CCCCCC"/>
            </w:tcBorders>
            <w:tcMar>
              <w:top w:w="100" w:type="dxa"/>
              <w:left w:w="140" w:type="dxa"/>
              <w:bottom w:w="100" w:type="dxa"/>
              <w:right w:w="140" w:type="dxa"/>
            </w:tcMar>
          </w:tcPr>
          <w:p w14:paraId="40B5821B" w14:textId="77777777" w:rsidR="00555ED9" w:rsidRDefault="00000000">
            <w:r>
              <w:t>keine</w:t>
            </w:r>
          </w:p>
        </w:tc>
      </w:tr>
    </w:tbl>
    <w:p w14:paraId="3EE0DF32" w14:textId="77777777" w:rsidR="0028262E" w:rsidRDefault="0028262E"/>
    <w:sectPr w:rsidR="0028262E">
      <w:headerReference w:type="default" r:id="rId7"/>
      <w:footerReference w:type="default" r:id="rId8"/>
      <w:pgSz w:w="11906" w:h="16838"/>
      <w:pgMar w:top="170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0F91F" w14:textId="77777777" w:rsidR="0028262E" w:rsidRDefault="0028262E">
      <w:r>
        <w:separator/>
      </w:r>
    </w:p>
  </w:endnote>
  <w:endnote w:type="continuationSeparator" w:id="0">
    <w:p w14:paraId="43000C51" w14:textId="77777777" w:rsidR="0028262E" w:rsidRDefault="002826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0F7F3" w14:textId="0A3184B5" w:rsidR="00555ED9" w:rsidRDefault="00DD6544">
    <w:pPr>
      <w:tabs>
        <w:tab w:val="right" w:pos="9026"/>
      </w:tabs>
    </w:pPr>
    <w:r>
      <w:rPr>
        <w:sz w:val="18"/>
        <w:szCs w:val="18"/>
      </w:rPr>
      <w:t xml:space="preserve">Shareholder Engagement Policy </w:t>
    </w:r>
    <w:r w:rsidR="00000000">
      <w:rPr>
        <w:sz w:val="18"/>
        <w:szCs w:val="18"/>
      </w:rPr>
      <w:t>/ Stand: Mai 2026</w:t>
    </w:r>
    <w:r w:rsidR="00000000">
      <w:rPr>
        <w:sz w:val="18"/>
        <w:szCs w:val="18"/>
      </w:rPr>
      <w:tab/>
    </w:r>
    <w:r w:rsidR="00000000">
      <w:rPr>
        <w:sz w:val="18"/>
        <w:szCs w:val="18"/>
      </w:rPr>
      <w:fldChar w:fldCharType="begin"/>
    </w:r>
    <w:r w:rsidR="00000000">
      <w:rPr>
        <w:sz w:val="18"/>
        <w:szCs w:val="18"/>
      </w:rPr>
      <w:instrText>PAGE</w:instrText>
    </w:r>
    <w:r w:rsidR="00000000">
      <w:rPr>
        <w:sz w:val="18"/>
        <w:szCs w:val="18"/>
      </w:rPr>
      <w:fldChar w:fldCharType="separate"/>
    </w:r>
    <w:r>
      <w:rPr>
        <w:noProof/>
        <w:sz w:val="18"/>
        <w:szCs w:val="18"/>
      </w:rPr>
      <w:t>1</w:t>
    </w:r>
    <w:r w:rsidR="00000000">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F720EA" w14:textId="77777777" w:rsidR="0028262E" w:rsidRDefault="0028262E">
      <w:r>
        <w:separator/>
      </w:r>
    </w:p>
  </w:footnote>
  <w:footnote w:type="continuationSeparator" w:id="0">
    <w:p w14:paraId="7C5D65EF" w14:textId="77777777" w:rsidR="0028262E" w:rsidRDefault="002826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7D08E" w14:textId="1458A541" w:rsidR="00555ED9" w:rsidRDefault="00555ED9">
    <w:pPr>
      <w:spacing w:after="1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851122"/>
    <w:multiLevelType w:val="hybridMultilevel"/>
    <w:tmpl w:val="FBE66D88"/>
    <w:lvl w:ilvl="0" w:tplc="8AAA0016">
      <w:start w:val="1"/>
      <w:numFmt w:val="bullet"/>
      <w:lvlText w:val="•"/>
      <w:lvlJc w:val="left"/>
      <w:pPr>
        <w:ind w:left="720" w:hanging="360"/>
      </w:pPr>
    </w:lvl>
    <w:lvl w:ilvl="1" w:tplc="AF1EBBE4">
      <w:numFmt w:val="decimal"/>
      <w:lvlText w:val=""/>
      <w:lvlJc w:val="left"/>
    </w:lvl>
    <w:lvl w:ilvl="2" w:tplc="90BC0C10">
      <w:numFmt w:val="decimal"/>
      <w:lvlText w:val=""/>
      <w:lvlJc w:val="left"/>
    </w:lvl>
    <w:lvl w:ilvl="3" w:tplc="0862EA04">
      <w:numFmt w:val="decimal"/>
      <w:lvlText w:val=""/>
      <w:lvlJc w:val="left"/>
    </w:lvl>
    <w:lvl w:ilvl="4" w:tplc="243C8AB4">
      <w:numFmt w:val="decimal"/>
      <w:lvlText w:val=""/>
      <w:lvlJc w:val="left"/>
    </w:lvl>
    <w:lvl w:ilvl="5" w:tplc="A9DAB0DC">
      <w:numFmt w:val="decimal"/>
      <w:lvlText w:val=""/>
      <w:lvlJc w:val="left"/>
    </w:lvl>
    <w:lvl w:ilvl="6" w:tplc="9782C9FE">
      <w:numFmt w:val="decimal"/>
      <w:lvlText w:val=""/>
      <w:lvlJc w:val="left"/>
    </w:lvl>
    <w:lvl w:ilvl="7" w:tplc="A19078BC">
      <w:numFmt w:val="decimal"/>
      <w:lvlText w:val=""/>
      <w:lvlJc w:val="left"/>
    </w:lvl>
    <w:lvl w:ilvl="8" w:tplc="564C3E48">
      <w:numFmt w:val="decimal"/>
      <w:lvlText w:val=""/>
      <w:lvlJc w:val="left"/>
    </w:lvl>
  </w:abstractNum>
  <w:abstractNum w:abstractNumId="1" w15:restartNumberingAfterBreak="0">
    <w:nsid w:val="6111077A"/>
    <w:multiLevelType w:val="hybridMultilevel"/>
    <w:tmpl w:val="EB1639F6"/>
    <w:lvl w:ilvl="0" w:tplc="F38600DA">
      <w:start w:val="1"/>
      <w:numFmt w:val="bullet"/>
      <w:lvlText w:val="●"/>
      <w:lvlJc w:val="left"/>
      <w:pPr>
        <w:ind w:left="720" w:hanging="360"/>
      </w:pPr>
    </w:lvl>
    <w:lvl w:ilvl="1" w:tplc="137A6FAC">
      <w:start w:val="1"/>
      <w:numFmt w:val="bullet"/>
      <w:lvlText w:val="○"/>
      <w:lvlJc w:val="left"/>
      <w:pPr>
        <w:ind w:left="1440" w:hanging="360"/>
      </w:pPr>
    </w:lvl>
    <w:lvl w:ilvl="2" w:tplc="7AE06A42">
      <w:start w:val="1"/>
      <w:numFmt w:val="bullet"/>
      <w:lvlText w:val="■"/>
      <w:lvlJc w:val="left"/>
      <w:pPr>
        <w:ind w:left="2160" w:hanging="360"/>
      </w:pPr>
    </w:lvl>
    <w:lvl w:ilvl="3" w:tplc="050AB39E">
      <w:start w:val="1"/>
      <w:numFmt w:val="bullet"/>
      <w:lvlText w:val="●"/>
      <w:lvlJc w:val="left"/>
      <w:pPr>
        <w:ind w:left="2880" w:hanging="360"/>
      </w:pPr>
    </w:lvl>
    <w:lvl w:ilvl="4" w:tplc="3F5ACE40">
      <w:start w:val="1"/>
      <w:numFmt w:val="bullet"/>
      <w:lvlText w:val="○"/>
      <w:lvlJc w:val="left"/>
      <w:pPr>
        <w:ind w:left="3600" w:hanging="360"/>
      </w:pPr>
    </w:lvl>
    <w:lvl w:ilvl="5" w:tplc="0E924C7E">
      <w:start w:val="1"/>
      <w:numFmt w:val="bullet"/>
      <w:lvlText w:val="■"/>
      <w:lvlJc w:val="left"/>
      <w:pPr>
        <w:ind w:left="4320" w:hanging="360"/>
      </w:pPr>
    </w:lvl>
    <w:lvl w:ilvl="6" w:tplc="11B0C96C">
      <w:start w:val="1"/>
      <w:numFmt w:val="bullet"/>
      <w:lvlText w:val="●"/>
      <w:lvlJc w:val="left"/>
      <w:pPr>
        <w:ind w:left="5040" w:hanging="360"/>
      </w:pPr>
    </w:lvl>
    <w:lvl w:ilvl="7" w:tplc="D152B28A">
      <w:start w:val="1"/>
      <w:numFmt w:val="bullet"/>
      <w:lvlText w:val="●"/>
      <w:lvlJc w:val="left"/>
      <w:pPr>
        <w:ind w:left="5760" w:hanging="360"/>
      </w:pPr>
    </w:lvl>
    <w:lvl w:ilvl="8" w:tplc="F5DA57F2">
      <w:start w:val="1"/>
      <w:numFmt w:val="bullet"/>
      <w:lvlText w:val="●"/>
      <w:lvlJc w:val="left"/>
      <w:pPr>
        <w:ind w:left="6480" w:hanging="360"/>
      </w:pPr>
    </w:lvl>
  </w:abstractNum>
  <w:num w:numId="1" w16cid:durableId="2128547441">
    <w:abstractNumId w:val="1"/>
    <w:lvlOverride w:ilvl="0">
      <w:startOverride w:val="1"/>
    </w:lvlOverride>
  </w:num>
  <w:num w:numId="2" w16cid:durableId="38129788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5ED9"/>
    <w:rsid w:val="00203A71"/>
    <w:rsid w:val="0028262E"/>
    <w:rsid w:val="00555ED9"/>
    <w:rsid w:val="00DD6544"/>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decimalSymbol w:val=","/>
  <w:listSeparator w:val=","/>
  <w14:docId w14:val="14B04C83"/>
  <w15:docId w15:val="{488FF0DD-E67E-CD49-8323-28BCF44F6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DE"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D6544"/>
    <w:pPr>
      <w:tabs>
        <w:tab w:val="center" w:pos="4513"/>
        <w:tab w:val="right" w:pos="9026"/>
      </w:tabs>
    </w:pPr>
  </w:style>
  <w:style w:type="character" w:customStyle="1" w:styleId="HeaderChar">
    <w:name w:val="Header Char"/>
    <w:basedOn w:val="DefaultParagraphFont"/>
    <w:link w:val="Header"/>
    <w:uiPriority w:val="99"/>
    <w:rsid w:val="00DD6544"/>
  </w:style>
  <w:style w:type="paragraph" w:styleId="Footer">
    <w:name w:val="footer"/>
    <w:basedOn w:val="Normal"/>
    <w:link w:val="FooterChar"/>
    <w:uiPriority w:val="99"/>
    <w:unhideWhenUsed/>
    <w:rsid w:val="00DD6544"/>
    <w:pPr>
      <w:tabs>
        <w:tab w:val="center" w:pos="4513"/>
        <w:tab w:val="right" w:pos="9026"/>
      </w:tabs>
    </w:pPr>
  </w:style>
  <w:style w:type="character" w:customStyle="1" w:styleId="FooterChar">
    <w:name w:val="Footer Char"/>
    <w:basedOn w:val="DefaultParagraphFont"/>
    <w:link w:val="Footer"/>
    <w:uiPriority w:val="99"/>
    <w:rsid w:val="00DD65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1936</Words>
  <Characters>11039</Characters>
  <Application>Microsoft Office Word</Application>
  <DocSecurity>0</DocSecurity>
  <Lines>91</Lines>
  <Paragraphs>25</Paragraphs>
  <ScaleCrop>false</ScaleCrop>
  <Company/>
  <LinksUpToDate>false</LinksUpToDate>
  <CharactersWithSpaces>12950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Mitwirkungspolitik</dc:title>
  <dc:creator>Ultramarin Capital GmbH</dc:creator>
  <cp:lastModifiedBy>Ann-Kathrin Behringer</cp:lastModifiedBy>
  <cp:revision>2</cp:revision>
  <dcterms:created xsi:type="dcterms:W3CDTF">2026-05-22T11:15:00Z</dcterms:created>
  <dcterms:modified xsi:type="dcterms:W3CDTF">2026-05-22T11:25:00Z</dcterms:modified>
</cp:coreProperties>
</file>