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624B71" w14:textId="77777777" w:rsidR="009B056E" w:rsidRDefault="009B056E">
      <w:pPr>
        <w:spacing w:after="360"/>
      </w:pPr>
    </w:p>
    <w:p w14:paraId="11F5239E" w14:textId="77777777" w:rsidR="009B056E" w:rsidRDefault="00000000">
      <w:pPr>
        <w:spacing w:after="240"/>
        <w:jc w:val="center"/>
      </w:pPr>
      <w:r>
        <w:rPr>
          <w:b/>
          <w:bCs/>
        </w:rPr>
        <w:t>ULTRAMARIN CAPITAL GMBH</w:t>
      </w:r>
    </w:p>
    <w:p w14:paraId="046417BA" w14:textId="77777777" w:rsidR="009B056E" w:rsidRDefault="00000000">
      <w:pPr>
        <w:spacing w:after="240"/>
        <w:jc w:val="center"/>
      </w:pPr>
      <w:r>
        <w:rPr>
          <w:b/>
          <w:bCs/>
        </w:rPr>
        <w:t>LIEBIGSTRAßE 22</w:t>
      </w:r>
    </w:p>
    <w:p w14:paraId="0EEEFE4F" w14:textId="77777777" w:rsidR="009B056E" w:rsidRDefault="00000000">
      <w:pPr>
        <w:spacing w:after="360"/>
        <w:jc w:val="center"/>
      </w:pPr>
      <w:r>
        <w:rPr>
          <w:b/>
          <w:bCs/>
        </w:rPr>
        <w:t>D-80538 MÜNCHEN</w:t>
      </w:r>
    </w:p>
    <w:p w14:paraId="019ED7F9" w14:textId="77777777" w:rsidR="009B056E" w:rsidRDefault="009B056E">
      <w:pPr>
        <w:pBdr>
          <w:bottom w:val="single" w:sz="8" w:space="1" w:color="000000"/>
        </w:pBdr>
        <w:spacing w:before="60" w:after="60"/>
      </w:pPr>
    </w:p>
    <w:p w14:paraId="45D01292" w14:textId="77777777" w:rsidR="009B056E" w:rsidRDefault="00000000">
      <w:pPr>
        <w:spacing w:before="200" w:after="200"/>
        <w:jc w:val="center"/>
      </w:pPr>
      <w:r>
        <w:rPr>
          <w:b/>
          <w:bCs/>
          <w:color w:val="2623C1"/>
          <w:sz w:val="36"/>
          <w:szCs w:val="36"/>
        </w:rPr>
        <w:t>SHAREHOLDER ENGAGEMENT POLICY</w:t>
      </w:r>
    </w:p>
    <w:p w14:paraId="5A653DD6" w14:textId="77777777" w:rsidR="009B056E" w:rsidRDefault="009B056E">
      <w:pPr>
        <w:pBdr>
          <w:bottom w:val="single" w:sz="8" w:space="1" w:color="000000"/>
        </w:pBdr>
        <w:spacing w:before="60" w:after="60"/>
      </w:pPr>
    </w:p>
    <w:p w14:paraId="79021507" w14:textId="77777777" w:rsidR="009B056E" w:rsidRDefault="009B056E">
      <w:pPr>
        <w:spacing w:after="280"/>
      </w:pPr>
    </w:p>
    <w:p w14:paraId="5FEDA906" w14:textId="77777777" w:rsidR="009B056E" w:rsidRDefault="00000000">
      <w:pPr>
        <w:spacing w:after="120"/>
        <w:jc w:val="center"/>
      </w:pPr>
      <w:r>
        <w:rPr>
          <w:sz w:val="20"/>
          <w:szCs w:val="20"/>
        </w:rPr>
        <w:t xml:space="preserve">Pursuant to </w:t>
      </w:r>
      <w:r>
        <w:rPr>
          <w:i/>
          <w:iCs/>
          <w:sz w:val="20"/>
          <w:szCs w:val="20"/>
        </w:rPr>
        <w:t>Section 134b of the German Stock Corporation Act (AktG)</w:t>
      </w:r>
      <w:r>
        <w:rPr>
          <w:sz w:val="20"/>
          <w:szCs w:val="20"/>
        </w:rPr>
        <w:t>,</w:t>
      </w:r>
    </w:p>
    <w:p w14:paraId="3B7A3235" w14:textId="77777777" w:rsidR="009B056E" w:rsidRDefault="00000000">
      <w:pPr>
        <w:spacing w:after="480"/>
        <w:jc w:val="center"/>
      </w:pPr>
      <w:r>
        <w:rPr>
          <w:sz w:val="20"/>
          <w:szCs w:val="20"/>
        </w:rPr>
        <w:t>implementing Article 3g of the Shareholder Rights Directive II (Directive (EU) 2017/828, “SRD II”).</w:t>
      </w:r>
    </w:p>
    <w:p w14:paraId="59E4EBBA" w14:textId="77777777" w:rsidR="009B056E" w:rsidRDefault="00000000">
      <w:pPr>
        <w:spacing w:before="320" w:after="140" w:line="300" w:lineRule="auto"/>
      </w:pPr>
      <w:r>
        <w:rPr>
          <w:b/>
          <w:bCs/>
          <w:sz w:val="24"/>
          <w:szCs w:val="24"/>
        </w:rPr>
        <w:t>Introduction and Purpose</w:t>
      </w:r>
    </w:p>
    <w:p w14:paraId="3E341B8F" w14:textId="77777777" w:rsidR="009B056E" w:rsidRDefault="00000000">
      <w:pPr>
        <w:spacing w:after="160" w:line="300" w:lineRule="auto"/>
        <w:jc w:val="both"/>
      </w:pPr>
      <w:r>
        <w:t>Ultramarin Capital GmbH (hereinafter “Ultramarin” or the “Company”) is an asset manager headquartered in Munich, Germany. The Company develops AI-based investment solutions for institutional clients and offers, among other products, mutual funds, structured products and managed accounts that invest in equities, including shares of companies admitted to trading on a regulated market established or operating within a Member State of the European Union (“EU Listed Companies”).</w:t>
      </w:r>
    </w:p>
    <w:p w14:paraId="70120062" w14:textId="77777777" w:rsidR="009B056E" w:rsidRDefault="00000000">
      <w:pPr>
        <w:spacing w:after="160" w:line="300" w:lineRule="auto"/>
        <w:jc w:val="both"/>
      </w:pPr>
      <w:r>
        <w:t>As a result, the Company falls within the scope of the disclosure obligations introduced by the Second Shareholder Rights Directive (Directive (EU) 2017/828, “SRD II”) and, in particular, the transposition of Article 3g into German law through Section 134b of the German Stock Corporation Act (Aktiengesetz, “AktG”).</w:t>
      </w:r>
    </w:p>
    <w:p w14:paraId="7DA59BB8" w14:textId="77777777" w:rsidR="009B056E" w:rsidRDefault="00000000">
      <w:pPr>
        <w:spacing w:after="160" w:line="300" w:lineRule="auto"/>
        <w:jc w:val="both"/>
      </w:pPr>
      <w:r>
        <w:t>This Shareholder Engagement Policy (the “Policy”) sets out the principles that the Company applies in relation to shareholder engagement with EU Listed Companies held in the portfolios it manages. Where the Company does not engage in certain activities listed in Section 134b AktG, the Policy provides a clear and reasoned explanation in line with the “comply or explain” approach permitted by the statute.</w:t>
      </w:r>
    </w:p>
    <w:p w14:paraId="5553E63E" w14:textId="77777777" w:rsidR="009B056E" w:rsidRDefault="00000000">
      <w:pPr>
        <w:spacing w:after="160" w:line="300" w:lineRule="auto"/>
        <w:jc w:val="both"/>
      </w:pPr>
      <w:r>
        <w:t>This Policy applies to all assets managed by the Company on behalf of its clients that comprise shares of EU Listed Companies, regardless of investment vehicle or mandate. It does not apply to investments outside this scope (e.g., non-EU equities, fixed income, derivatives, fund-of-fund allocations) other than where explicitly stated.</w:t>
      </w:r>
    </w:p>
    <w:p w14:paraId="107C7DA9" w14:textId="77777777" w:rsidR="005F7EEF" w:rsidRDefault="005F7EEF">
      <w:pPr>
        <w:spacing w:before="320" w:after="140" w:line="300" w:lineRule="auto"/>
        <w:rPr>
          <w:b/>
          <w:bCs/>
          <w:sz w:val="24"/>
          <w:szCs w:val="24"/>
        </w:rPr>
      </w:pPr>
    </w:p>
    <w:p w14:paraId="3A81E8D4" w14:textId="77777777" w:rsidR="005F7EEF" w:rsidRDefault="005F7EEF">
      <w:pPr>
        <w:spacing w:before="320" w:after="140" w:line="300" w:lineRule="auto"/>
        <w:rPr>
          <w:b/>
          <w:bCs/>
          <w:sz w:val="24"/>
          <w:szCs w:val="24"/>
        </w:rPr>
      </w:pPr>
    </w:p>
    <w:p w14:paraId="0EB4B0DE" w14:textId="12ED73D8" w:rsidR="009B056E" w:rsidRDefault="00000000">
      <w:pPr>
        <w:spacing w:before="320" w:after="140" w:line="300" w:lineRule="auto"/>
      </w:pPr>
      <w:r>
        <w:rPr>
          <w:b/>
          <w:bCs/>
          <w:sz w:val="24"/>
          <w:szCs w:val="24"/>
        </w:rPr>
        <w:lastRenderedPageBreak/>
        <w:t>The Company’s Investment Approach</w:t>
      </w:r>
    </w:p>
    <w:p w14:paraId="44F1EE0B" w14:textId="77777777" w:rsidR="009B056E" w:rsidRDefault="00000000">
      <w:pPr>
        <w:spacing w:after="160" w:line="300" w:lineRule="auto"/>
        <w:jc w:val="both"/>
      </w:pPr>
      <w:r>
        <w:t>An understanding of the Company’s investment approach is essential to appreciate the way in which engagement – and the comply-or-explain reasoning set out below – has been calibrated.</w:t>
      </w:r>
    </w:p>
    <w:p w14:paraId="1045FB15" w14:textId="77777777" w:rsidR="009B056E" w:rsidRDefault="00000000">
      <w:pPr>
        <w:spacing w:after="160" w:line="300" w:lineRule="auto"/>
        <w:jc w:val="both"/>
      </w:pPr>
      <w:r>
        <w:rPr>
          <w:b/>
          <w:bCs/>
        </w:rPr>
        <w:t xml:space="preserve">Systematic, AI-driven investment process. </w:t>
      </w:r>
      <w:r>
        <w:t>The Company manages equity portfolios using a proprietary, fully systematic investment process based on machine learning models. Investment decisions – including stock selection, position sizing, tactical allocation and rebalancing – are generated by quantitative models that process large volumes of heterogeneous data (financial statements, market data, alternative data). Discretionary human intervention at the level of individual portfolio companies is, by design, limited.</w:t>
      </w:r>
    </w:p>
    <w:p w14:paraId="67BE1B5C" w14:textId="77777777" w:rsidR="009B056E" w:rsidRDefault="00000000">
      <w:pPr>
        <w:spacing w:after="160" w:line="300" w:lineRule="auto"/>
        <w:jc w:val="both"/>
      </w:pPr>
      <w:r>
        <w:rPr>
          <w:b/>
          <w:bCs/>
        </w:rPr>
        <w:t xml:space="preserve">Broad diversification and small individual positions. </w:t>
      </w:r>
      <w:r>
        <w:t>The strategies operated by the Company typically result in broadly diversified portfolios holding several hundred securities. Individual holdings are generally small in both absolute terms and relative to the issuer’s free float. The Company therefore does not, in the ordinary course of business, hold positions that would confer material influence over the management or strategy of any single EU Listed Company.</w:t>
      </w:r>
    </w:p>
    <w:p w14:paraId="032C843F" w14:textId="77777777" w:rsidR="009B056E" w:rsidRDefault="00000000">
      <w:pPr>
        <w:spacing w:after="160" w:line="300" w:lineRule="auto"/>
        <w:jc w:val="both"/>
      </w:pPr>
      <w:r>
        <w:rPr>
          <w:b/>
          <w:bCs/>
        </w:rPr>
        <w:t xml:space="preserve">Model-driven horizon and turnover. </w:t>
      </w:r>
      <w:r>
        <w:t>Holding periods are determined by the models’ signals rather than by any fundamental, long-term view formed at the level of an individual issuer. Positions may be entered, scaled or exited as model inputs evolve. This is materially different from a long-only, concentrated, fundamentally-driven strategy in which active engagement with management would be a natural feature of the investment process.</w:t>
      </w:r>
    </w:p>
    <w:p w14:paraId="5DDA26F9" w14:textId="77777777" w:rsidR="009B056E" w:rsidRDefault="00000000">
      <w:pPr>
        <w:spacing w:before="320" w:after="140" w:line="300" w:lineRule="auto"/>
      </w:pPr>
      <w:r>
        <w:rPr>
          <w:b/>
          <w:bCs/>
          <w:sz w:val="24"/>
          <w:szCs w:val="24"/>
        </w:rPr>
        <w:t>General Statement on Engagement</w:t>
      </w:r>
    </w:p>
    <w:p w14:paraId="1516003E" w14:textId="77777777" w:rsidR="009B056E" w:rsidRDefault="00000000">
      <w:pPr>
        <w:spacing w:after="160" w:line="300" w:lineRule="auto"/>
        <w:jc w:val="both"/>
      </w:pPr>
      <w:r>
        <w:t>The Company recognises that good corporate governance, sustainable business practices and the protection of minority shareholder rights are important factors that, over the long term, may contribute to the financial performance of investee companies and to the resilience of the broader financial system.</w:t>
      </w:r>
    </w:p>
    <w:p w14:paraId="08141694" w14:textId="77777777" w:rsidR="009B056E" w:rsidRDefault="00000000">
      <w:pPr>
        <w:spacing w:after="160" w:line="300" w:lineRule="auto"/>
        <w:jc w:val="both"/>
      </w:pPr>
      <w:r>
        <w:t>Within the boundaries of its systematic investment approach, the Company nevertheless takes the view that active engagement with the management of individual investee companies – in the sense of dialogue on strategy, performance, risk, capital structure and ESG matters – is generally not an effective or proportionate tool for achieving its clients’ investment objectives. The Company therefore currently does not maintain an active engagement programme of the type typically operated by fundamentally-driven, long-only managers.</w:t>
      </w:r>
    </w:p>
    <w:p w14:paraId="05B2ED42" w14:textId="77777777" w:rsidR="009B056E" w:rsidRDefault="00000000">
      <w:pPr>
        <w:spacing w:after="160" w:line="300" w:lineRule="auto"/>
        <w:jc w:val="both"/>
      </w:pPr>
      <w:r>
        <w:t>Consistent with Section 134b(4) AktG, the following sections describe, for each engagement-related element required by Section 134b(1) and (2) AktG, either how the Company addresses the requirement or the reasoned explanation for why it does not.</w:t>
      </w:r>
    </w:p>
    <w:p w14:paraId="6108B165" w14:textId="77777777" w:rsidR="005F7EEF" w:rsidRDefault="005F7EEF">
      <w:pPr>
        <w:spacing w:before="320" w:after="140" w:line="300" w:lineRule="auto"/>
        <w:rPr>
          <w:b/>
          <w:bCs/>
          <w:sz w:val="24"/>
          <w:szCs w:val="24"/>
        </w:rPr>
      </w:pPr>
    </w:p>
    <w:p w14:paraId="3C44A703" w14:textId="744047A0" w:rsidR="009B056E" w:rsidRDefault="00000000">
      <w:pPr>
        <w:spacing w:before="320" w:after="140" w:line="300" w:lineRule="auto"/>
      </w:pPr>
      <w:r>
        <w:rPr>
          <w:b/>
          <w:bCs/>
          <w:sz w:val="24"/>
          <w:szCs w:val="24"/>
        </w:rPr>
        <w:lastRenderedPageBreak/>
        <w:t>Monitoring of investee companies</w:t>
      </w:r>
    </w:p>
    <w:p w14:paraId="30C7F41C" w14:textId="77777777" w:rsidR="009B056E" w:rsidRDefault="00000000">
      <w:pPr>
        <w:spacing w:after="160" w:line="300" w:lineRule="auto"/>
        <w:jc w:val="both"/>
      </w:pPr>
      <w:r>
        <w:t>Requirement: Monitoring of investee companies on relevant matters, including strategy, financial and non-financial performance, risk, capital structure, social and environmental impact and corporate governance.</w:t>
      </w:r>
    </w:p>
    <w:p w14:paraId="01EC9DBC" w14:textId="77777777" w:rsidR="009B056E" w:rsidRDefault="00000000">
      <w:pPr>
        <w:spacing w:after="160" w:line="300" w:lineRule="auto"/>
        <w:jc w:val="both"/>
      </w:pPr>
      <w:r>
        <w:rPr>
          <w:b/>
          <w:bCs/>
        </w:rPr>
        <w:t xml:space="preserve">Approach. </w:t>
      </w:r>
      <w:r>
        <w:t>The Company monitors investee companies primarily through the data inputs and signals consumed by its quantitative models. These inputs include, among others, financial statements, market data, news flow and selected ESG-relevant data. Monitoring is therefore systematic, model-driven and applied uniformly across a large universe of companies, rather than discretionary and company-specific. The Company does not maintain a dedicated stewardship team conducting issuer-level fundamental monitoring beyond what is required by its models, its risk framework and applicable regulation.</w:t>
      </w:r>
    </w:p>
    <w:p w14:paraId="6D6BD451" w14:textId="77777777" w:rsidR="009B056E" w:rsidRDefault="00000000">
      <w:pPr>
        <w:spacing w:before="320" w:after="140" w:line="300" w:lineRule="auto"/>
      </w:pPr>
      <w:r>
        <w:rPr>
          <w:b/>
          <w:bCs/>
          <w:sz w:val="24"/>
          <w:szCs w:val="24"/>
        </w:rPr>
        <w:t>Dialogue with investee companies</w:t>
      </w:r>
    </w:p>
    <w:p w14:paraId="5CBD08E9" w14:textId="77777777" w:rsidR="009B056E" w:rsidRDefault="00000000">
      <w:pPr>
        <w:spacing w:after="160" w:line="300" w:lineRule="auto"/>
        <w:jc w:val="both"/>
      </w:pPr>
      <w:r>
        <w:t>Requirement: Conduct of dialogues with investee companies (their corporate bodies).</w:t>
      </w:r>
    </w:p>
    <w:p w14:paraId="5B0BA92F" w14:textId="77777777" w:rsidR="009B056E" w:rsidRDefault="00000000">
      <w:pPr>
        <w:spacing w:after="160" w:line="300" w:lineRule="auto"/>
        <w:jc w:val="both"/>
      </w:pPr>
      <w:r>
        <w:rPr>
          <w:b/>
          <w:bCs/>
        </w:rPr>
        <w:t xml:space="preserve">Comply-or-explain. </w:t>
      </w:r>
      <w:r>
        <w:t>Given the systematic nature of the investment process, the typically small size of individual positions and the broad number of holdings, the Company does not consider direct dialogue with the management or supervisory bodies of individual EU Listed Companies to be a proportionate or effective tool. The Company therefore does not, as a general rule, initiate or conduct such dialogues. Where an investee company approaches the Company on its own initiative, the Company will consider the request on a case-by-case basis.</w:t>
      </w:r>
    </w:p>
    <w:p w14:paraId="69666868" w14:textId="77777777" w:rsidR="009B056E" w:rsidRDefault="00000000">
      <w:pPr>
        <w:spacing w:before="320" w:after="140" w:line="300" w:lineRule="auto"/>
      </w:pPr>
      <w:r>
        <w:rPr>
          <w:b/>
          <w:bCs/>
          <w:sz w:val="24"/>
          <w:szCs w:val="24"/>
        </w:rPr>
        <w:t>Exercise of voting rights</w:t>
      </w:r>
    </w:p>
    <w:p w14:paraId="18C0530C" w14:textId="77777777" w:rsidR="009B056E" w:rsidRDefault="00000000">
      <w:pPr>
        <w:spacing w:after="160" w:line="300" w:lineRule="auto"/>
        <w:jc w:val="both"/>
      </w:pPr>
      <w:r>
        <w:t>Requirement: Exercise of voting rights and other rights attached to shares.</w:t>
      </w:r>
    </w:p>
    <w:p w14:paraId="253EB11A" w14:textId="77777777" w:rsidR="009B056E" w:rsidRDefault="00000000">
      <w:pPr>
        <w:spacing w:after="160" w:line="300" w:lineRule="auto"/>
        <w:jc w:val="both"/>
      </w:pPr>
      <w:r>
        <w:rPr>
          <w:b/>
          <w:bCs/>
        </w:rPr>
        <w:t xml:space="preserve">Comply-or-explain. </w:t>
      </w:r>
      <w:r>
        <w:t>Voting rights attached to shares of EU Listed Companies are, in the great majority of cases, exercised by the legal owner of the shares rather than by the Company. For mutual funds, voting rights are typically exercised by the management company (KVG) or its custodian in accordance with the relevant fund regulations and voting policies. For managed accounts and structured products, voting rights remain with the underlying client or the issuer of the structure. Accordingly, the Company does not, in the ordinary course of business, itself exercise voting rights on behalf of clients.</w:t>
      </w:r>
    </w:p>
    <w:p w14:paraId="711CFFB2" w14:textId="77777777" w:rsidR="009B056E" w:rsidRDefault="00000000">
      <w:pPr>
        <w:spacing w:after="160" w:line="300" w:lineRule="auto"/>
        <w:jc w:val="both"/>
      </w:pPr>
      <w:r>
        <w:t>Where, exceptionally, voting rights are delegated to the Company under a specific mandate, the Company will agree appropriate voting arrangements (including, where appropriate, the use of a proxy advisor) with the relevant client and disclose them in the annual implementation report.</w:t>
      </w:r>
    </w:p>
    <w:p w14:paraId="008A33EC" w14:textId="77777777" w:rsidR="009B056E" w:rsidRDefault="00000000">
      <w:pPr>
        <w:spacing w:before="320" w:after="140" w:line="300" w:lineRule="auto"/>
      </w:pPr>
      <w:r>
        <w:rPr>
          <w:b/>
          <w:bCs/>
          <w:sz w:val="24"/>
          <w:szCs w:val="24"/>
        </w:rPr>
        <w:t>Cooperation with other shareholders</w:t>
      </w:r>
    </w:p>
    <w:p w14:paraId="50F6998F" w14:textId="77777777" w:rsidR="009B056E" w:rsidRDefault="00000000">
      <w:pPr>
        <w:spacing w:after="160" w:line="300" w:lineRule="auto"/>
        <w:jc w:val="both"/>
      </w:pPr>
      <w:r>
        <w:t>Requirement: Cooperation with other shareholders.</w:t>
      </w:r>
    </w:p>
    <w:p w14:paraId="1F6DDEF7" w14:textId="77777777" w:rsidR="009B056E" w:rsidRDefault="00000000">
      <w:pPr>
        <w:spacing w:after="160" w:line="300" w:lineRule="auto"/>
        <w:jc w:val="both"/>
      </w:pPr>
      <w:r>
        <w:rPr>
          <w:b/>
          <w:bCs/>
        </w:rPr>
        <w:lastRenderedPageBreak/>
        <w:t xml:space="preserve">Comply-or-explain. </w:t>
      </w:r>
      <w:r>
        <w:t>The Company does not, as a matter of policy, cooperate with other shareholders to influence the management or strategy of any EU Listed Company. Coordinated action would not be consistent with the Company’s systematic investment approach and could give rise to acting-in-concert risks. The Company will exchange purely technical or operational information with other market participants only where this is required by law or by market practice (e.g., disclosure obligations).</w:t>
      </w:r>
    </w:p>
    <w:p w14:paraId="550F6AC4" w14:textId="77777777" w:rsidR="009B056E" w:rsidRDefault="00000000">
      <w:pPr>
        <w:spacing w:before="320" w:after="140" w:line="300" w:lineRule="auto"/>
      </w:pPr>
      <w:r>
        <w:rPr>
          <w:b/>
          <w:bCs/>
          <w:sz w:val="24"/>
          <w:szCs w:val="24"/>
        </w:rPr>
        <w:t>Communication with relevant stakeholders of investee companies</w:t>
      </w:r>
    </w:p>
    <w:p w14:paraId="4B7FD484" w14:textId="77777777" w:rsidR="009B056E" w:rsidRDefault="00000000">
      <w:pPr>
        <w:spacing w:after="160" w:line="300" w:lineRule="auto"/>
        <w:jc w:val="both"/>
      </w:pPr>
      <w:r>
        <w:t>Requirement: Communication with relevant stakeholders of investee companies.</w:t>
      </w:r>
    </w:p>
    <w:p w14:paraId="0208BAB4" w14:textId="77777777" w:rsidR="009B056E" w:rsidRDefault="00000000">
      <w:pPr>
        <w:spacing w:after="160" w:line="300" w:lineRule="auto"/>
        <w:jc w:val="both"/>
      </w:pPr>
      <w:r>
        <w:rPr>
          <w:b/>
          <w:bCs/>
        </w:rPr>
        <w:t xml:space="preserve">Comply-or-explain. </w:t>
      </w:r>
      <w:r>
        <w:t>For the same reasons set out above, the Company does not seek active dialogue with stakeholders of investee companies (e.g., employee representatives, NGOs). Where the Company receives unsolicited information from such stakeholders, it is considered to the extent it is relevant to the data inputs of the Company’s models or to the Company’s risk framework.</w:t>
      </w:r>
    </w:p>
    <w:p w14:paraId="23EF2A57" w14:textId="77777777" w:rsidR="009B056E" w:rsidRDefault="00000000">
      <w:pPr>
        <w:spacing w:before="320" w:after="140" w:line="300" w:lineRule="auto"/>
      </w:pPr>
      <w:r>
        <w:rPr>
          <w:b/>
          <w:bCs/>
          <w:sz w:val="24"/>
          <w:szCs w:val="24"/>
        </w:rPr>
        <w:t>Management of actual and potential conflicts of interest</w:t>
      </w:r>
    </w:p>
    <w:p w14:paraId="2937FFC2" w14:textId="77777777" w:rsidR="009B056E" w:rsidRDefault="00000000">
      <w:pPr>
        <w:spacing w:after="160" w:line="300" w:lineRule="auto"/>
        <w:jc w:val="both"/>
      </w:pPr>
      <w:r>
        <w:t>Requirement: Management of actual and potential conflicts of interest in connection with engagement.</w:t>
      </w:r>
    </w:p>
    <w:p w14:paraId="645B9023" w14:textId="77777777" w:rsidR="009B056E" w:rsidRDefault="00000000">
      <w:pPr>
        <w:spacing w:after="160" w:line="300" w:lineRule="auto"/>
        <w:jc w:val="both"/>
      </w:pPr>
      <w:r>
        <w:rPr>
          <w:b/>
          <w:bCs/>
        </w:rPr>
        <w:t xml:space="preserve">Approach. </w:t>
      </w:r>
      <w:r>
        <w:t>Because the Company does not maintain an active engagement programme, the universe of engagement-related conflicts of interest is limited. To the extent that any such conflicts could arise (for example, in the context of an unsolicited dialogue with an investee company, or in connection with the exceptional exercise of voting rights under a specific mandate), they are addressed under the Company’s Conflict of Interest Policy (</w:t>
      </w:r>
      <w:r>
        <w:rPr>
          <w:i/>
          <w:iCs/>
        </w:rPr>
        <w:t>Richtlinie zum Umgang mit Interessenkonflikten</w:t>
      </w:r>
      <w:r>
        <w:t>), which is published on the Company’s website in the MiFID section.</w:t>
      </w:r>
    </w:p>
    <w:p w14:paraId="27B586AD" w14:textId="77777777" w:rsidR="009B056E" w:rsidRDefault="00000000">
      <w:pPr>
        <w:spacing w:after="160" w:line="300" w:lineRule="auto"/>
        <w:jc w:val="both"/>
      </w:pPr>
      <w:r>
        <w:t>The Conflict of Interest Policy implements the requirements of MiFID II as transposed into German law through the Securities Institutions Act (Wertpapierinstitutsgesetz, “WpIG”) and the Securities Trading Act (Wertpapierhandelsgesetz, “WpHG”). It sets out the organisational and administrative arrangements in place to identify, evaluate, document, monitor and, where necessary, resolve or disclose conflicts of interest, including Chinese Walls, employee training and personal-account-dealing rules, a Best Execution Policy, inducements rules under Section 70 WpHG, and a compensation structure designed to avoid incentives contrary to client interests.</w:t>
      </w:r>
    </w:p>
    <w:p w14:paraId="79FC6D44" w14:textId="77777777" w:rsidR="009B056E" w:rsidRDefault="00000000">
      <w:pPr>
        <w:spacing w:after="160" w:line="300" w:lineRule="auto"/>
        <w:jc w:val="both"/>
      </w:pPr>
      <w:r>
        <w:t>The Company has established a Compliance function and a Compliance Officer who maintains a conflict-of-interest register, reviews the register at least annually and reports identified conflicts to management. Engagement-related conflicts, where they occur, are handled within this framework. Where a conflict cannot be avoided and cannot be resolved internally, it is disclosed to the affected client in accordance with the Conflict of Interest Policy.</w:t>
      </w:r>
    </w:p>
    <w:p w14:paraId="63F8C269" w14:textId="77777777" w:rsidR="009B056E" w:rsidRDefault="00000000">
      <w:pPr>
        <w:spacing w:before="320" w:after="140" w:line="300" w:lineRule="auto"/>
      </w:pPr>
      <w:r>
        <w:rPr>
          <w:b/>
          <w:bCs/>
          <w:sz w:val="24"/>
          <w:szCs w:val="24"/>
        </w:rPr>
        <w:t>Annual Implementation Report</w:t>
      </w:r>
    </w:p>
    <w:p w14:paraId="594727F6" w14:textId="77777777" w:rsidR="009B056E" w:rsidRDefault="00000000">
      <w:pPr>
        <w:spacing w:after="160" w:line="300" w:lineRule="auto"/>
        <w:jc w:val="both"/>
      </w:pPr>
      <w:r>
        <w:lastRenderedPageBreak/>
        <w:t>In accordance with Section 134b(2) AktG, the Company publishes on an annual basis an implementation report describing how this Policy has been applied during the relevant reporting period.</w:t>
      </w:r>
    </w:p>
    <w:p w14:paraId="19D4DED6" w14:textId="77777777" w:rsidR="009B056E" w:rsidRDefault="00000000">
      <w:pPr>
        <w:spacing w:after="160" w:line="300" w:lineRule="auto"/>
        <w:jc w:val="both"/>
      </w:pPr>
      <w:r>
        <w:t>To the extent that engagement activities are not undertaken, the implementation report will state this fact and refer back to the relevant comply-or-explain reasoning in this Policy. To the extent that the Company has, exceptionally, exercised voting rights or engaged in dialogue, the implementation report will set out:</w:t>
      </w:r>
    </w:p>
    <w:p w14:paraId="167582C0" w14:textId="77777777" w:rsidR="009B056E" w:rsidRDefault="00000000">
      <w:pPr>
        <w:pStyle w:val="ListParagraph"/>
        <w:numPr>
          <w:ilvl w:val="0"/>
          <w:numId w:val="2"/>
        </w:numPr>
        <w:spacing w:after="80" w:line="300" w:lineRule="auto"/>
        <w:jc w:val="both"/>
      </w:pPr>
      <w:r>
        <w:t>a general description of voting behaviour during the reporting period;</w:t>
      </w:r>
    </w:p>
    <w:p w14:paraId="3525AC69" w14:textId="77777777" w:rsidR="009B056E" w:rsidRDefault="00000000">
      <w:pPr>
        <w:pStyle w:val="ListParagraph"/>
        <w:numPr>
          <w:ilvl w:val="0"/>
          <w:numId w:val="2"/>
        </w:numPr>
        <w:spacing w:after="80" w:line="300" w:lineRule="auto"/>
        <w:jc w:val="both"/>
      </w:pPr>
      <w:r>
        <w:t>an explanation of the most significant votes (if any);</w:t>
      </w:r>
    </w:p>
    <w:p w14:paraId="0153F584" w14:textId="77777777" w:rsidR="009B056E" w:rsidRDefault="00000000">
      <w:pPr>
        <w:pStyle w:val="ListParagraph"/>
        <w:numPr>
          <w:ilvl w:val="0"/>
          <w:numId w:val="2"/>
        </w:numPr>
        <w:spacing w:after="80" w:line="300" w:lineRule="auto"/>
        <w:jc w:val="both"/>
      </w:pPr>
      <w:r>
        <w:t>information on the use of proxy advisors (if any); and</w:t>
      </w:r>
    </w:p>
    <w:p w14:paraId="0CFE735E" w14:textId="77777777" w:rsidR="009B056E" w:rsidRDefault="00000000">
      <w:pPr>
        <w:pStyle w:val="ListParagraph"/>
        <w:numPr>
          <w:ilvl w:val="0"/>
          <w:numId w:val="2"/>
        </w:numPr>
        <w:spacing w:after="80" w:line="300" w:lineRule="auto"/>
        <w:jc w:val="both"/>
      </w:pPr>
      <w:r>
        <w:t>a summary of any direct dialogue conducted with investee companies (if any).</w:t>
      </w:r>
    </w:p>
    <w:p w14:paraId="189C8949" w14:textId="77777777" w:rsidR="009B056E" w:rsidRDefault="00000000">
      <w:pPr>
        <w:spacing w:after="160" w:line="300" w:lineRule="auto"/>
        <w:jc w:val="both"/>
      </w:pPr>
      <w:r>
        <w:t>Where the Company has not exercised any voting rights and has not engaged in any dialogue during the reporting period, the implementation report will state this fact and explain the reasons in line with this Policy.</w:t>
      </w:r>
    </w:p>
    <w:p w14:paraId="484B73F9" w14:textId="77777777" w:rsidR="009B056E" w:rsidRDefault="00000000">
      <w:pPr>
        <w:spacing w:before="320" w:after="140" w:line="300" w:lineRule="auto"/>
      </w:pPr>
      <w:r>
        <w:rPr>
          <w:b/>
          <w:bCs/>
          <w:sz w:val="24"/>
          <w:szCs w:val="24"/>
        </w:rPr>
        <w:t>Review, Updates and Governance</w:t>
      </w:r>
    </w:p>
    <w:p w14:paraId="11ACED5E" w14:textId="77777777" w:rsidR="009B056E" w:rsidRDefault="00000000">
      <w:pPr>
        <w:spacing w:after="160" w:line="300" w:lineRule="auto"/>
        <w:jc w:val="both"/>
      </w:pPr>
      <w:r>
        <w:t>This Policy is approved by the management of the Company and is reviewed at least once a year and on an ad-hoc basis when material changes occur (for example, changes to the Company’s investment strategy, changes to its product offering, or changes to the applicable regulatory framework).</w:t>
      </w:r>
    </w:p>
    <w:p w14:paraId="321AD91C" w14:textId="77777777" w:rsidR="009B056E" w:rsidRDefault="00000000">
      <w:pPr>
        <w:spacing w:after="160" w:line="300" w:lineRule="auto"/>
        <w:jc w:val="both"/>
      </w:pPr>
      <w:r>
        <w:t>Should the Company’s investment strategy, product offering or scale of operations change in a way that makes active engagement proportionate and value-adding for clients, this Policy will be amended accordingly and – to that extent – the comply-or-explain reasoning will be replaced by an actual description of the engagement activities undertaken.</w:t>
      </w:r>
    </w:p>
    <w:p w14:paraId="4B07D639" w14:textId="77777777" w:rsidR="009B056E" w:rsidRDefault="00000000">
      <w:pPr>
        <w:spacing w:before="320" w:after="140" w:line="300" w:lineRule="auto"/>
      </w:pPr>
      <w:r>
        <w:rPr>
          <w:b/>
          <w:bCs/>
          <w:sz w:val="24"/>
          <w:szCs w:val="24"/>
        </w:rPr>
        <w:t>Publication and Availability</w:t>
      </w:r>
    </w:p>
    <w:p w14:paraId="06B21463" w14:textId="77777777" w:rsidR="009B056E" w:rsidRDefault="00000000">
      <w:pPr>
        <w:spacing w:after="160" w:line="300" w:lineRule="auto"/>
        <w:jc w:val="both"/>
      </w:pPr>
      <w:r>
        <w:t>In accordance with Section 134b(4) AktG, this Policy and the annual implementation reports are published in the investor / governance section of the Company’s website (www.ultramarin.ai) and remain freely accessible for at least three years. The information is updated at least once a year.</w:t>
      </w:r>
    </w:p>
    <w:p w14:paraId="78C4DEF8" w14:textId="77777777" w:rsidR="009B056E" w:rsidRDefault="009B056E">
      <w:pPr>
        <w:spacing w:after="360"/>
      </w:pPr>
    </w:p>
    <w:p w14:paraId="33AADB76" w14:textId="77777777" w:rsidR="009B056E" w:rsidRDefault="00000000">
      <w:pPr>
        <w:spacing w:before="320" w:after="140" w:line="300" w:lineRule="auto"/>
      </w:pPr>
      <w:r>
        <w:rPr>
          <w:b/>
          <w:bCs/>
          <w:sz w:val="24"/>
          <w:szCs w:val="24"/>
        </w:rPr>
        <w:t>Version History</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600"/>
        <w:gridCol w:w="3826"/>
      </w:tblGrid>
      <w:tr w:rsidR="009B056E" w14:paraId="33B44ABA" w14:textId="77777777">
        <w:tblPrEx>
          <w:tblCellMar>
            <w:top w:w="0" w:type="dxa"/>
            <w:bottom w:w="0" w:type="dxa"/>
          </w:tblCellMar>
        </w:tblPrEx>
        <w:trPr>
          <w:tblHeader/>
        </w:trPr>
        <w:tc>
          <w:tcPr>
            <w:tcW w:w="2600" w:type="dxa"/>
            <w:tcBorders>
              <w:top w:val="single" w:sz="6" w:space="0" w:color="000000"/>
              <w:left w:val="single" w:sz="4" w:space="0" w:color="CCCCCC"/>
              <w:bottom w:val="single" w:sz="6" w:space="0" w:color="000000"/>
              <w:right w:val="single" w:sz="4" w:space="0" w:color="CCCCCC"/>
            </w:tcBorders>
            <w:tcMar>
              <w:top w:w="100" w:type="dxa"/>
              <w:left w:w="140" w:type="dxa"/>
              <w:bottom w:w="100" w:type="dxa"/>
              <w:right w:w="140" w:type="dxa"/>
            </w:tcMar>
          </w:tcPr>
          <w:p w14:paraId="3CB21203" w14:textId="77777777" w:rsidR="009B056E" w:rsidRDefault="00000000">
            <w:r>
              <w:rPr>
                <w:b/>
                <w:bCs/>
              </w:rPr>
              <w:t>Date</w:t>
            </w:r>
          </w:p>
        </w:tc>
        <w:tc>
          <w:tcPr>
            <w:tcW w:w="2600" w:type="dxa"/>
            <w:tcBorders>
              <w:top w:val="single" w:sz="6" w:space="0" w:color="000000"/>
              <w:left w:val="single" w:sz="4" w:space="0" w:color="CCCCCC"/>
              <w:bottom w:val="single" w:sz="6" w:space="0" w:color="000000"/>
              <w:right w:val="single" w:sz="4" w:space="0" w:color="CCCCCC"/>
            </w:tcBorders>
            <w:tcMar>
              <w:top w:w="100" w:type="dxa"/>
              <w:left w:w="140" w:type="dxa"/>
              <w:bottom w:w="100" w:type="dxa"/>
              <w:right w:w="140" w:type="dxa"/>
            </w:tcMar>
          </w:tcPr>
          <w:p w14:paraId="1669D642" w14:textId="77777777" w:rsidR="009B056E" w:rsidRDefault="00000000">
            <w:r>
              <w:rPr>
                <w:b/>
                <w:bCs/>
              </w:rPr>
              <w:t>Type of Revision</w:t>
            </w:r>
          </w:p>
        </w:tc>
        <w:tc>
          <w:tcPr>
            <w:tcW w:w="3826" w:type="dxa"/>
            <w:tcBorders>
              <w:top w:val="single" w:sz="6" w:space="0" w:color="000000"/>
              <w:left w:val="single" w:sz="4" w:space="0" w:color="CCCCCC"/>
              <w:bottom w:val="single" w:sz="6" w:space="0" w:color="000000"/>
              <w:right w:val="single" w:sz="4" w:space="0" w:color="CCCCCC"/>
            </w:tcBorders>
            <w:tcMar>
              <w:top w:w="100" w:type="dxa"/>
              <w:left w:w="140" w:type="dxa"/>
              <w:bottom w:w="100" w:type="dxa"/>
              <w:right w:w="140" w:type="dxa"/>
            </w:tcMar>
          </w:tcPr>
          <w:p w14:paraId="754D5B4B" w14:textId="77777777" w:rsidR="009B056E" w:rsidRDefault="00000000">
            <w:r>
              <w:rPr>
                <w:b/>
                <w:bCs/>
              </w:rPr>
              <w:t>Changes</w:t>
            </w:r>
          </w:p>
        </w:tc>
      </w:tr>
      <w:tr w:rsidR="009B056E" w14:paraId="58B5A42C" w14:textId="77777777">
        <w:tblPrEx>
          <w:tblCellMar>
            <w:top w:w="0" w:type="dxa"/>
            <w:bottom w:w="0" w:type="dxa"/>
          </w:tblCellMar>
        </w:tblPrEx>
        <w:tc>
          <w:tcPr>
            <w:tcW w:w="26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26A38C6D" w14:textId="77777777" w:rsidR="009B056E" w:rsidRDefault="00000000">
            <w:r>
              <w:t>01.05.2026</w:t>
            </w:r>
          </w:p>
        </w:tc>
        <w:tc>
          <w:tcPr>
            <w:tcW w:w="26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6B4EF6AE" w14:textId="77777777" w:rsidR="009B056E" w:rsidRDefault="00000000">
            <w:r>
              <w:t>Implementation</w:t>
            </w:r>
          </w:p>
        </w:tc>
        <w:tc>
          <w:tcPr>
            <w:tcW w:w="3826"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4F5A5D2F" w14:textId="77777777" w:rsidR="009B056E" w:rsidRDefault="00000000">
            <w:r>
              <w:t>none</w:t>
            </w:r>
          </w:p>
        </w:tc>
      </w:tr>
    </w:tbl>
    <w:p w14:paraId="4B680C7E" w14:textId="77777777" w:rsidR="00702557" w:rsidRDefault="00702557"/>
    <w:sectPr w:rsidR="00702557">
      <w:headerReference w:type="default" r:id="rId7"/>
      <w:footerReference w:type="default" r:id="rId8"/>
      <w:pgSz w:w="11906" w:h="16838"/>
      <w:pgMar w:top="170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E34FF" w14:textId="77777777" w:rsidR="00702557" w:rsidRDefault="00702557">
      <w:r>
        <w:separator/>
      </w:r>
    </w:p>
  </w:endnote>
  <w:endnote w:type="continuationSeparator" w:id="0">
    <w:p w14:paraId="13073620" w14:textId="77777777" w:rsidR="00702557" w:rsidRDefault="007025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5528D" w14:textId="77777777" w:rsidR="009B056E" w:rsidRDefault="00000000">
    <w:pPr>
      <w:tabs>
        <w:tab w:val="right" w:pos="9026"/>
      </w:tabs>
    </w:pPr>
    <w:r>
      <w:rPr>
        <w:sz w:val="18"/>
        <w:szCs w:val="18"/>
      </w:rPr>
      <w:t>Shareholder Engagement Policy / Effective: May 2026</w:t>
    </w:r>
    <w:r>
      <w:rPr>
        <w:sz w:val="18"/>
        <w:szCs w:val="18"/>
      </w:rPr>
      <w:tab/>
    </w:r>
    <w:r>
      <w:rPr>
        <w:sz w:val="18"/>
        <w:szCs w:val="18"/>
      </w:rPr>
      <w:fldChar w:fldCharType="begin"/>
    </w:r>
    <w:r>
      <w:rPr>
        <w:sz w:val="18"/>
        <w:szCs w:val="18"/>
      </w:rPr>
      <w:instrText>PAGE</w:instrText>
    </w:r>
    <w:r>
      <w:rPr>
        <w:sz w:val="18"/>
        <w:szCs w:val="18"/>
      </w:rPr>
      <w:fldChar w:fldCharType="separate"/>
    </w:r>
    <w:r w:rsidR="005F7EEF">
      <w:rPr>
        <w:noProof/>
        <w:sz w:val="18"/>
        <w:szCs w:val="18"/>
      </w:rPr>
      <w:t>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A881E7" w14:textId="77777777" w:rsidR="00702557" w:rsidRDefault="00702557">
      <w:r>
        <w:separator/>
      </w:r>
    </w:p>
  </w:footnote>
  <w:footnote w:type="continuationSeparator" w:id="0">
    <w:p w14:paraId="3DD05155" w14:textId="77777777" w:rsidR="00702557" w:rsidRDefault="007025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68159" w14:textId="556536DD" w:rsidR="009B056E" w:rsidRDefault="009B056E">
    <w:pPr>
      <w:spacing w:after="1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7276CE"/>
    <w:multiLevelType w:val="hybridMultilevel"/>
    <w:tmpl w:val="37B21C36"/>
    <w:lvl w:ilvl="0" w:tplc="9D8214A2">
      <w:start w:val="1"/>
      <w:numFmt w:val="bullet"/>
      <w:lvlText w:val="•"/>
      <w:lvlJc w:val="left"/>
      <w:pPr>
        <w:ind w:left="720" w:hanging="360"/>
      </w:pPr>
    </w:lvl>
    <w:lvl w:ilvl="1" w:tplc="F47CEF8A">
      <w:numFmt w:val="decimal"/>
      <w:lvlText w:val=""/>
      <w:lvlJc w:val="left"/>
    </w:lvl>
    <w:lvl w:ilvl="2" w:tplc="38765F6C">
      <w:numFmt w:val="decimal"/>
      <w:lvlText w:val=""/>
      <w:lvlJc w:val="left"/>
    </w:lvl>
    <w:lvl w:ilvl="3" w:tplc="06FE76F8">
      <w:numFmt w:val="decimal"/>
      <w:lvlText w:val=""/>
      <w:lvlJc w:val="left"/>
    </w:lvl>
    <w:lvl w:ilvl="4" w:tplc="9468E790">
      <w:numFmt w:val="decimal"/>
      <w:lvlText w:val=""/>
      <w:lvlJc w:val="left"/>
    </w:lvl>
    <w:lvl w:ilvl="5" w:tplc="215C29B8">
      <w:numFmt w:val="decimal"/>
      <w:lvlText w:val=""/>
      <w:lvlJc w:val="left"/>
    </w:lvl>
    <w:lvl w:ilvl="6" w:tplc="CC28A134">
      <w:numFmt w:val="decimal"/>
      <w:lvlText w:val=""/>
      <w:lvlJc w:val="left"/>
    </w:lvl>
    <w:lvl w:ilvl="7" w:tplc="CAD03284">
      <w:numFmt w:val="decimal"/>
      <w:lvlText w:val=""/>
      <w:lvlJc w:val="left"/>
    </w:lvl>
    <w:lvl w:ilvl="8" w:tplc="64101F20">
      <w:numFmt w:val="decimal"/>
      <w:lvlText w:val=""/>
      <w:lvlJc w:val="left"/>
    </w:lvl>
  </w:abstractNum>
  <w:abstractNum w:abstractNumId="1" w15:restartNumberingAfterBreak="0">
    <w:nsid w:val="72B71C09"/>
    <w:multiLevelType w:val="hybridMultilevel"/>
    <w:tmpl w:val="6562BBA4"/>
    <w:lvl w:ilvl="0" w:tplc="12E40DA8">
      <w:start w:val="1"/>
      <w:numFmt w:val="bullet"/>
      <w:lvlText w:val="●"/>
      <w:lvlJc w:val="left"/>
      <w:pPr>
        <w:ind w:left="720" w:hanging="360"/>
      </w:pPr>
    </w:lvl>
    <w:lvl w:ilvl="1" w:tplc="305ECE28">
      <w:start w:val="1"/>
      <w:numFmt w:val="bullet"/>
      <w:lvlText w:val="○"/>
      <w:lvlJc w:val="left"/>
      <w:pPr>
        <w:ind w:left="1440" w:hanging="360"/>
      </w:pPr>
    </w:lvl>
    <w:lvl w:ilvl="2" w:tplc="617C328E">
      <w:start w:val="1"/>
      <w:numFmt w:val="bullet"/>
      <w:lvlText w:val="■"/>
      <w:lvlJc w:val="left"/>
      <w:pPr>
        <w:ind w:left="2160" w:hanging="360"/>
      </w:pPr>
    </w:lvl>
    <w:lvl w:ilvl="3" w:tplc="E2AC7348">
      <w:start w:val="1"/>
      <w:numFmt w:val="bullet"/>
      <w:lvlText w:val="●"/>
      <w:lvlJc w:val="left"/>
      <w:pPr>
        <w:ind w:left="2880" w:hanging="360"/>
      </w:pPr>
    </w:lvl>
    <w:lvl w:ilvl="4" w:tplc="14F8BB9C">
      <w:start w:val="1"/>
      <w:numFmt w:val="bullet"/>
      <w:lvlText w:val="○"/>
      <w:lvlJc w:val="left"/>
      <w:pPr>
        <w:ind w:left="3600" w:hanging="360"/>
      </w:pPr>
    </w:lvl>
    <w:lvl w:ilvl="5" w:tplc="DAFA2CA6">
      <w:start w:val="1"/>
      <w:numFmt w:val="bullet"/>
      <w:lvlText w:val="■"/>
      <w:lvlJc w:val="left"/>
      <w:pPr>
        <w:ind w:left="4320" w:hanging="360"/>
      </w:pPr>
    </w:lvl>
    <w:lvl w:ilvl="6" w:tplc="31D0702C">
      <w:start w:val="1"/>
      <w:numFmt w:val="bullet"/>
      <w:lvlText w:val="●"/>
      <w:lvlJc w:val="left"/>
      <w:pPr>
        <w:ind w:left="5040" w:hanging="360"/>
      </w:pPr>
    </w:lvl>
    <w:lvl w:ilvl="7" w:tplc="AF062F1A">
      <w:start w:val="1"/>
      <w:numFmt w:val="bullet"/>
      <w:lvlText w:val="●"/>
      <w:lvlJc w:val="left"/>
      <w:pPr>
        <w:ind w:left="5760" w:hanging="360"/>
      </w:pPr>
    </w:lvl>
    <w:lvl w:ilvl="8" w:tplc="6FF8DA10">
      <w:start w:val="1"/>
      <w:numFmt w:val="bullet"/>
      <w:lvlText w:val="●"/>
      <w:lvlJc w:val="left"/>
      <w:pPr>
        <w:ind w:left="6480" w:hanging="360"/>
      </w:pPr>
    </w:lvl>
  </w:abstractNum>
  <w:num w:numId="1" w16cid:durableId="1194223649">
    <w:abstractNumId w:val="1"/>
    <w:lvlOverride w:ilvl="0">
      <w:startOverride w:val="1"/>
    </w:lvlOverride>
  </w:num>
  <w:num w:numId="2" w16cid:durableId="64651594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056E"/>
    <w:rsid w:val="00203A71"/>
    <w:rsid w:val="005F7EEF"/>
    <w:rsid w:val="00702557"/>
    <w:rsid w:val="009B056E"/>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decimalSymbol w:val=","/>
  <w:listSeparator w:val=","/>
  <w14:docId w14:val="5B4E627E"/>
  <w15:docId w15:val="{488FF0DD-E67E-CD49-8323-28BCF44F6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DE"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5F7EEF"/>
    <w:pPr>
      <w:tabs>
        <w:tab w:val="center" w:pos="4513"/>
        <w:tab w:val="right" w:pos="9026"/>
      </w:tabs>
    </w:pPr>
  </w:style>
  <w:style w:type="character" w:customStyle="1" w:styleId="HeaderChar">
    <w:name w:val="Header Char"/>
    <w:basedOn w:val="DefaultParagraphFont"/>
    <w:link w:val="Header"/>
    <w:uiPriority w:val="99"/>
    <w:rsid w:val="005F7EEF"/>
  </w:style>
  <w:style w:type="paragraph" w:styleId="Footer">
    <w:name w:val="footer"/>
    <w:basedOn w:val="Normal"/>
    <w:link w:val="FooterChar"/>
    <w:uiPriority w:val="99"/>
    <w:unhideWhenUsed/>
    <w:rsid w:val="005F7EEF"/>
    <w:pPr>
      <w:tabs>
        <w:tab w:val="center" w:pos="4513"/>
        <w:tab w:val="right" w:pos="9026"/>
      </w:tabs>
    </w:pPr>
  </w:style>
  <w:style w:type="character" w:customStyle="1" w:styleId="FooterChar">
    <w:name w:val="Footer Char"/>
    <w:basedOn w:val="DefaultParagraphFont"/>
    <w:link w:val="Footer"/>
    <w:uiPriority w:val="99"/>
    <w:rsid w:val="005F7E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1803</Words>
  <Characters>10278</Characters>
  <Application>Microsoft Office Word</Application>
  <DocSecurity>0</DocSecurity>
  <Lines>85</Lines>
  <Paragraphs>24</Paragraphs>
  <ScaleCrop>false</ScaleCrop>
  <Company/>
  <LinksUpToDate>false</LinksUpToDate>
  <CharactersWithSpaces>12057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Shareholder Engagement Policy</dc:title>
  <dc:creator>Ultramarin Capital GmbH</dc:creator>
  <cp:lastModifiedBy>Ann-Kathrin Behringer</cp:lastModifiedBy>
  <cp:revision>2</cp:revision>
  <dcterms:created xsi:type="dcterms:W3CDTF">2026-05-19T13:46:00Z</dcterms:created>
  <dcterms:modified xsi:type="dcterms:W3CDTF">2026-05-19T13:46:00Z</dcterms:modified>
</cp:coreProperties>
</file>